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63AA" w14:textId="31DD465A" w:rsidR="00063367" w:rsidRPr="00063367" w:rsidRDefault="00063367" w:rsidP="00761A99">
      <w:pPr>
        <w:pStyle w:val="Titre"/>
      </w:pPr>
      <w:r>
        <w:rPr>
          <w:noProof/>
        </w:rPr>
        <w:drawing>
          <wp:anchor distT="0" distB="0" distL="114300" distR="114300" simplePos="0" relativeHeight="251658240" behindDoc="0" locked="0" layoutInCell="1" allowOverlap="1" wp14:anchorId="10E0C5F6" wp14:editId="535EAA63">
            <wp:simplePos x="0" y="0"/>
            <wp:positionH relativeFrom="column">
              <wp:posOffset>-126707</wp:posOffset>
            </wp:positionH>
            <wp:positionV relativeFrom="paragraph">
              <wp:posOffset>70143</wp:posOffset>
            </wp:positionV>
            <wp:extent cx="2455200" cy="604800"/>
            <wp:effectExtent l="0" t="0" r="0" b="5080"/>
            <wp:wrapTopAndBottom/>
            <wp:docPr id="1" name="Image 1" descr="Logo de l'université de La Ré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e l'université de La Réun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5200" cy="604800"/>
                    </a:xfrm>
                    <a:prstGeom prst="rect">
                      <a:avLst/>
                    </a:prstGeom>
                  </pic:spPr>
                </pic:pic>
              </a:graphicData>
            </a:graphic>
            <wp14:sizeRelH relativeFrom="margin">
              <wp14:pctWidth>0</wp14:pctWidth>
            </wp14:sizeRelH>
            <wp14:sizeRelV relativeFrom="margin">
              <wp14:pctHeight>0</wp14:pctHeight>
            </wp14:sizeRelV>
          </wp:anchor>
        </w:drawing>
      </w:r>
      <w:r w:rsidRPr="00063367">
        <w:t xml:space="preserve">Schéma Pluriannuel d’Accessibilité Numérique (SPAN) </w:t>
      </w:r>
      <w:r w:rsidRPr="00063367">
        <w:br/>
        <w:t>Sept 2022- Sept 2025</w:t>
      </w:r>
    </w:p>
    <w:p w14:paraId="38A6E659" w14:textId="421D5A13" w:rsidR="00013BED" w:rsidRDefault="00063367" w:rsidP="00063367">
      <w:pPr>
        <w:pStyle w:val="Sous-titre"/>
        <w:rPr>
          <w:i/>
          <w:iCs/>
        </w:rPr>
      </w:pPr>
      <w:r w:rsidRPr="00063367">
        <w:rPr>
          <w:i/>
          <w:iCs/>
        </w:rPr>
        <w:t>Version du 1</w:t>
      </w:r>
      <w:r w:rsidR="00096500">
        <w:rPr>
          <w:i/>
          <w:iCs/>
        </w:rPr>
        <w:t>2</w:t>
      </w:r>
      <w:r w:rsidRPr="00063367">
        <w:rPr>
          <w:i/>
          <w:iCs/>
        </w:rPr>
        <w:t>/05/2022</w:t>
      </w:r>
    </w:p>
    <w:p w14:paraId="71A37255" w14:textId="77777777" w:rsidR="00013BED" w:rsidRDefault="00013BED">
      <w:pPr>
        <w:spacing w:before="0" w:after="0"/>
        <w:rPr>
          <w:rFonts w:ascii="Playfair Display" w:eastAsiaTheme="minorEastAsia" w:hAnsi="Playfair Display"/>
          <w:b/>
          <w:i/>
          <w:iCs/>
          <w:color w:val="19386F"/>
          <w:spacing w:val="15"/>
          <w:sz w:val="32"/>
          <w:szCs w:val="22"/>
        </w:rPr>
      </w:pPr>
      <w:r>
        <w:rPr>
          <w:i/>
          <w:iCs/>
        </w:rPr>
        <w:br w:type="page"/>
      </w:r>
    </w:p>
    <w:p w14:paraId="5306D51F" w14:textId="7A8DAFBA" w:rsidR="00096500" w:rsidRDefault="00776EBA">
      <w:pPr>
        <w:pStyle w:val="TM1"/>
        <w:tabs>
          <w:tab w:val="right" w:leader="dot" w:pos="9056"/>
        </w:tabs>
        <w:rPr>
          <w:rFonts w:asciiTheme="minorHAnsi" w:eastAsiaTheme="minorEastAsia" w:hAnsiTheme="minorHAnsi"/>
          <w:b w:val="0"/>
          <w:noProof/>
          <w:sz w:val="24"/>
          <w:lang w:eastAsia="fr-FR"/>
        </w:rPr>
      </w:pPr>
      <w:r>
        <w:lastRenderedPageBreak/>
        <w:fldChar w:fldCharType="begin"/>
      </w:r>
      <w:r>
        <w:instrText xml:space="preserve"> TOC \o "1-3" \h \z \u </w:instrText>
      </w:r>
      <w:r>
        <w:fldChar w:fldCharType="separate"/>
      </w:r>
      <w:hyperlink w:anchor="_Toc103285647" w:history="1">
        <w:r w:rsidR="00096500" w:rsidRPr="00D268D6">
          <w:rPr>
            <w:rStyle w:val="Lienhypertexte"/>
            <w:noProof/>
          </w:rPr>
          <w:t>Objectif du document</w:t>
        </w:r>
        <w:r w:rsidR="00096500">
          <w:rPr>
            <w:noProof/>
            <w:webHidden/>
          </w:rPr>
          <w:tab/>
        </w:r>
        <w:r w:rsidR="00096500">
          <w:rPr>
            <w:noProof/>
            <w:webHidden/>
          </w:rPr>
          <w:fldChar w:fldCharType="begin"/>
        </w:r>
        <w:r w:rsidR="00096500">
          <w:rPr>
            <w:noProof/>
            <w:webHidden/>
          </w:rPr>
          <w:instrText xml:space="preserve"> PAGEREF _Toc103285647 \h </w:instrText>
        </w:r>
        <w:r w:rsidR="00096500">
          <w:rPr>
            <w:noProof/>
            <w:webHidden/>
          </w:rPr>
        </w:r>
        <w:r w:rsidR="00096500">
          <w:rPr>
            <w:noProof/>
            <w:webHidden/>
          </w:rPr>
          <w:fldChar w:fldCharType="separate"/>
        </w:r>
        <w:r w:rsidR="00332578">
          <w:rPr>
            <w:noProof/>
            <w:webHidden/>
          </w:rPr>
          <w:t>3</w:t>
        </w:r>
        <w:r w:rsidR="00096500">
          <w:rPr>
            <w:noProof/>
            <w:webHidden/>
          </w:rPr>
          <w:fldChar w:fldCharType="end"/>
        </w:r>
      </w:hyperlink>
    </w:p>
    <w:p w14:paraId="482AE9C4" w14:textId="54A0E14B" w:rsidR="00096500" w:rsidRDefault="00000000">
      <w:pPr>
        <w:pStyle w:val="TM1"/>
        <w:tabs>
          <w:tab w:val="right" w:leader="dot" w:pos="9056"/>
        </w:tabs>
        <w:rPr>
          <w:rFonts w:asciiTheme="minorHAnsi" w:eastAsiaTheme="minorEastAsia" w:hAnsiTheme="minorHAnsi"/>
          <w:b w:val="0"/>
          <w:noProof/>
          <w:sz w:val="24"/>
          <w:lang w:eastAsia="fr-FR"/>
        </w:rPr>
      </w:pPr>
      <w:hyperlink w:anchor="_Toc103285648" w:history="1">
        <w:r w:rsidR="00096500" w:rsidRPr="00D268D6">
          <w:rPr>
            <w:rStyle w:val="Lienhypertexte"/>
            <w:noProof/>
          </w:rPr>
          <w:t>Contexte et historique 2018-2019</w:t>
        </w:r>
        <w:r w:rsidR="00096500">
          <w:rPr>
            <w:noProof/>
            <w:webHidden/>
          </w:rPr>
          <w:tab/>
        </w:r>
        <w:r w:rsidR="00096500">
          <w:rPr>
            <w:noProof/>
            <w:webHidden/>
          </w:rPr>
          <w:fldChar w:fldCharType="begin"/>
        </w:r>
        <w:r w:rsidR="00096500">
          <w:rPr>
            <w:noProof/>
            <w:webHidden/>
          </w:rPr>
          <w:instrText xml:space="preserve"> PAGEREF _Toc103285648 \h </w:instrText>
        </w:r>
        <w:r w:rsidR="00096500">
          <w:rPr>
            <w:noProof/>
            <w:webHidden/>
          </w:rPr>
        </w:r>
        <w:r w:rsidR="00096500">
          <w:rPr>
            <w:noProof/>
            <w:webHidden/>
          </w:rPr>
          <w:fldChar w:fldCharType="separate"/>
        </w:r>
        <w:r w:rsidR="00332578">
          <w:rPr>
            <w:noProof/>
            <w:webHidden/>
          </w:rPr>
          <w:t>3</w:t>
        </w:r>
        <w:r w:rsidR="00096500">
          <w:rPr>
            <w:noProof/>
            <w:webHidden/>
          </w:rPr>
          <w:fldChar w:fldCharType="end"/>
        </w:r>
      </w:hyperlink>
    </w:p>
    <w:p w14:paraId="3156E66F" w14:textId="1F76ECD8" w:rsidR="00096500" w:rsidRDefault="00000000">
      <w:pPr>
        <w:pStyle w:val="TM2"/>
        <w:tabs>
          <w:tab w:val="right" w:leader="dot" w:pos="9056"/>
        </w:tabs>
        <w:rPr>
          <w:rFonts w:asciiTheme="minorHAnsi" w:eastAsiaTheme="minorEastAsia" w:hAnsiTheme="minorHAnsi"/>
          <w:noProof/>
          <w:sz w:val="24"/>
          <w:lang w:eastAsia="fr-FR"/>
        </w:rPr>
      </w:pPr>
      <w:hyperlink w:anchor="_Toc103285649" w:history="1">
        <w:r w:rsidR="00096500" w:rsidRPr="00D268D6">
          <w:rPr>
            <w:rStyle w:val="Lienhypertexte"/>
            <w:noProof/>
          </w:rPr>
          <w:t>Une politique volontariste</w:t>
        </w:r>
        <w:r w:rsidR="00096500">
          <w:rPr>
            <w:noProof/>
            <w:webHidden/>
          </w:rPr>
          <w:tab/>
        </w:r>
        <w:r w:rsidR="00096500">
          <w:rPr>
            <w:noProof/>
            <w:webHidden/>
          </w:rPr>
          <w:fldChar w:fldCharType="begin"/>
        </w:r>
        <w:r w:rsidR="00096500">
          <w:rPr>
            <w:noProof/>
            <w:webHidden/>
          </w:rPr>
          <w:instrText xml:space="preserve"> PAGEREF _Toc103285649 \h </w:instrText>
        </w:r>
        <w:r w:rsidR="00096500">
          <w:rPr>
            <w:noProof/>
            <w:webHidden/>
          </w:rPr>
        </w:r>
        <w:r w:rsidR="00096500">
          <w:rPr>
            <w:noProof/>
            <w:webHidden/>
          </w:rPr>
          <w:fldChar w:fldCharType="separate"/>
        </w:r>
        <w:r w:rsidR="00332578">
          <w:rPr>
            <w:noProof/>
            <w:webHidden/>
          </w:rPr>
          <w:t>3</w:t>
        </w:r>
        <w:r w:rsidR="00096500">
          <w:rPr>
            <w:noProof/>
            <w:webHidden/>
          </w:rPr>
          <w:fldChar w:fldCharType="end"/>
        </w:r>
      </w:hyperlink>
    </w:p>
    <w:p w14:paraId="6DD30F2E" w14:textId="43AE00AD" w:rsidR="00096500" w:rsidRDefault="00000000">
      <w:pPr>
        <w:pStyle w:val="TM2"/>
        <w:tabs>
          <w:tab w:val="right" w:leader="dot" w:pos="9056"/>
        </w:tabs>
        <w:rPr>
          <w:rFonts w:asciiTheme="minorHAnsi" w:eastAsiaTheme="minorEastAsia" w:hAnsiTheme="minorHAnsi"/>
          <w:noProof/>
          <w:sz w:val="24"/>
          <w:lang w:eastAsia="fr-FR"/>
        </w:rPr>
      </w:pPr>
      <w:hyperlink w:anchor="_Toc103285650" w:history="1">
        <w:r w:rsidR="00096500" w:rsidRPr="00D268D6">
          <w:rPr>
            <w:rStyle w:val="Lienhypertexte"/>
            <w:noProof/>
          </w:rPr>
          <w:t>Les premières actions</w:t>
        </w:r>
        <w:r w:rsidR="00096500">
          <w:rPr>
            <w:noProof/>
            <w:webHidden/>
          </w:rPr>
          <w:tab/>
        </w:r>
        <w:r w:rsidR="00096500">
          <w:rPr>
            <w:noProof/>
            <w:webHidden/>
          </w:rPr>
          <w:fldChar w:fldCharType="begin"/>
        </w:r>
        <w:r w:rsidR="00096500">
          <w:rPr>
            <w:noProof/>
            <w:webHidden/>
          </w:rPr>
          <w:instrText xml:space="preserve"> PAGEREF _Toc103285650 \h </w:instrText>
        </w:r>
        <w:r w:rsidR="00096500">
          <w:rPr>
            <w:noProof/>
            <w:webHidden/>
          </w:rPr>
        </w:r>
        <w:r w:rsidR="00096500">
          <w:rPr>
            <w:noProof/>
            <w:webHidden/>
          </w:rPr>
          <w:fldChar w:fldCharType="separate"/>
        </w:r>
        <w:r w:rsidR="00332578">
          <w:rPr>
            <w:noProof/>
            <w:webHidden/>
          </w:rPr>
          <w:t>3</w:t>
        </w:r>
        <w:r w:rsidR="00096500">
          <w:rPr>
            <w:noProof/>
            <w:webHidden/>
          </w:rPr>
          <w:fldChar w:fldCharType="end"/>
        </w:r>
      </w:hyperlink>
    </w:p>
    <w:p w14:paraId="54FA5644" w14:textId="5267894F" w:rsidR="00096500" w:rsidRDefault="00000000">
      <w:pPr>
        <w:pStyle w:val="TM3"/>
        <w:tabs>
          <w:tab w:val="right" w:leader="dot" w:pos="9056"/>
        </w:tabs>
        <w:rPr>
          <w:rFonts w:asciiTheme="minorHAnsi" w:eastAsiaTheme="minorEastAsia" w:hAnsiTheme="minorHAnsi"/>
          <w:noProof/>
          <w:sz w:val="24"/>
          <w:lang w:eastAsia="fr-FR"/>
        </w:rPr>
      </w:pPr>
      <w:hyperlink w:anchor="_Toc103285651" w:history="1">
        <w:r w:rsidR="00096500" w:rsidRPr="00D268D6">
          <w:rPr>
            <w:rStyle w:val="Lienhypertexte"/>
            <w:noProof/>
          </w:rPr>
          <w:t>Site institutionnel</w:t>
        </w:r>
        <w:r w:rsidR="00096500">
          <w:rPr>
            <w:noProof/>
            <w:webHidden/>
          </w:rPr>
          <w:tab/>
        </w:r>
        <w:r w:rsidR="00096500">
          <w:rPr>
            <w:noProof/>
            <w:webHidden/>
          </w:rPr>
          <w:fldChar w:fldCharType="begin"/>
        </w:r>
        <w:r w:rsidR="00096500">
          <w:rPr>
            <w:noProof/>
            <w:webHidden/>
          </w:rPr>
          <w:instrText xml:space="preserve"> PAGEREF _Toc103285651 \h </w:instrText>
        </w:r>
        <w:r w:rsidR="00096500">
          <w:rPr>
            <w:noProof/>
            <w:webHidden/>
          </w:rPr>
        </w:r>
        <w:r w:rsidR="00096500">
          <w:rPr>
            <w:noProof/>
            <w:webHidden/>
          </w:rPr>
          <w:fldChar w:fldCharType="separate"/>
        </w:r>
        <w:r w:rsidR="00332578">
          <w:rPr>
            <w:noProof/>
            <w:webHidden/>
          </w:rPr>
          <w:t>3</w:t>
        </w:r>
        <w:r w:rsidR="00096500">
          <w:rPr>
            <w:noProof/>
            <w:webHidden/>
          </w:rPr>
          <w:fldChar w:fldCharType="end"/>
        </w:r>
      </w:hyperlink>
    </w:p>
    <w:p w14:paraId="22CC409A" w14:textId="77EB1DD4" w:rsidR="00096500" w:rsidRDefault="00000000">
      <w:pPr>
        <w:pStyle w:val="TM3"/>
        <w:tabs>
          <w:tab w:val="right" w:leader="dot" w:pos="9056"/>
        </w:tabs>
        <w:rPr>
          <w:rFonts w:asciiTheme="minorHAnsi" w:eastAsiaTheme="minorEastAsia" w:hAnsiTheme="minorHAnsi"/>
          <w:noProof/>
          <w:sz w:val="24"/>
          <w:lang w:eastAsia="fr-FR"/>
        </w:rPr>
      </w:pPr>
      <w:hyperlink w:anchor="_Toc103285652" w:history="1">
        <w:r w:rsidR="00096500" w:rsidRPr="00D268D6">
          <w:rPr>
            <w:rStyle w:val="Lienhypertexte"/>
            <w:noProof/>
          </w:rPr>
          <w:t>Information et sensibilisation</w:t>
        </w:r>
        <w:r w:rsidR="00096500">
          <w:rPr>
            <w:noProof/>
            <w:webHidden/>
          </w:rPr>
          <w:tab/>
        </w:r>
        <w:r w:rsidR="00096500">
          <w:rPr>
            <w:noProof/>
            <w:webHidden/>
          </w:rPr>
          <w:fldChar w:fldCharType="begin"/>
        </w:r>
        <w:r w:rsidR="00096500">
          <w:rPr>
            <w:noProof/>
            <w:webHidden/>
          </w:rPr>
          <w:instrText xml:space="preserve"> PAGEREF _Toc103285652 \h </w:instrText>
        </w:r>
        <w:r w:rsidR="00096500">
          <w:rPr>
            <w:noProof/>
            <w:webHidden/>
          </w:rPr>
        </w:r>
        <w:r w:rsidR="00096500">
          <w:rPr>
            <w:noProof/>
            <w:webHidden/>
          </w:rPr>
          <w:fldChar w:fldCharType="separate"/>
        </w:r>
        <w:r w:rsidR="00332578">
          <w:rPr>
            <w:noProof/>
            <w:webHidden/>
          </w:rPr>
          <w:t>4</w:t>
        </w:r>
        <w:r w:rsidR="00096500">
          <w:rPr>
            <w:noProof/>
            <w:webHidden/>
          </w:rPr>
          <w:fldChar w:fldCharType="end"/>
        </w:r>
      </w:hyperlink>
    </w:p>
    <w:p w14:paraId="10D71BE1" w14:textId="7BD38BF5" w:rsidR="00096500" w:rsidRDefault="00000000">
      <w:pPr>
        <w:pStyle w:val="TM2"/>
        <w:tabs>
          <w:tab w:val="right" w:leader="dot" w:pos="9056"/>
        </w:tabs>
        <w:rPr>
          <w:rFonts w:asciiTheme="minorHAnsi" w:eastAsiaTheme="minorEastAsia" w:hAnsiTheme="minorHAnsi"/>
          <w:noProof/>
          <w:sz w:val="24"/>
          <w:lang w:eastAsia="fr-FR"/>
        </w:rPr>
      </w:pPr>
      <w:hyperlink w:anchor="_Toc103285653" w:history="1">
        <w:r w:rsidR="00096500" w:rsidRPr="00D268D6">
          <w:rPr>
            <w:rStyle w:val="Lienhypertexte"/>
            <w:noProof/>
          </w:rPr>
          <w:t>Un premier Schéma pluriannuel d’accessibilité numérique (SPAN)</w:t>
        </w:r>
        <w:r w:rsidR="00096500">
          <w:rPr>
            <w:noProof/>
            <w:webHidden/>
          </w:rPr>
          <w:tab/>
        </w:r>
        <w:r w:rsidR="00096500">
          <w:rPr>
            <w:noProof/>
            <w:webHidden/>
          </w:rPr>
          <w:fldChar w:fldCharType="begin"/>
        </w:r>
        <w:r w:rsidR="00096500">
          <w:rPr>
            <w:noProof/>
            <w:webHidden/>
          </w:rPr>
          <w:instrText xml:space="preserve"> PAGEREF _Toc103285653 \h </w:instrText>
        </w:r>
        <w:r w:rsidR="00096500">
          <w:rPr>
            <w:noProof/>
            <w:webHidden/>
          </w:rPr>
        </w:r>
        <w:r w:rsidR="00096500">
          <w:rPr>
            <w:noProof/>
            <w:webHidden/>
          </w:rPr>
          <w:fldChar w:fldCharType="separate"/>
        </w:r>
        <w:r w:rsidR="00332578">
          <w:rPr>
            <w:noProof/>
            <w:webHidden/>
          </w:rPr>
          <w:t>5</w:t>
        </w:r>
        <w:r w:rsidR="00096500">
          <w:rPr>
            <w:noProof/>
            <w:webHidden/>
          </w:rPr>
          <w:fldChar w:fldCharType="end"/>
        </w:r>
      </w:hyperlink>
    </w:p>
    <w:p w14:paraId="2755489A" w14:textId="764520C2" w:rsidR="00096500" w:rsidRDefault="00000000">
      <w:pPr>
        <w:pStyle w:val="TM1"/>
        <w:tabs>
          <w:tab w:val="right" w:leader="dot" w:pos="9056"/>
        </w:tabs>
        <w:rPr>
          <w:rFonts w:asciiTheme="minorHAnsi" w:eastAsiaTheme="minorEastAsia" w:hAnsiTheme="minorHAnsi"/>
          <w:b w:val="0"/>
          <w:noProof/>
          <w:sz w:val="24"/>
          <w:lang w:eastAsia="fr-FR"/>
        </w:rPr>
      </w:pPr>
      <w:hyperlink w:anchor="_Toc103285654" w:history="1">
        <w:r w:rsidR="00096500" w:rsidRPr="00D268D6">
          <w:rPr>
            <w:rStyle w:val="Lienhypertexte"/>
            <w:noProof/>
          </w:rPr>
          <w:t>SPAN 2022 - 2025 : Feuille de route</w:t>
        </w:r>
        <w:r w:rsidR="00096500">
          <w:rPr>
            <w:noProof/>
            <w:webHidden/>
          </w:rPr>
          <w:tab/>
        </w:r>
        <w:r w:rsidR="00096500">
          <w:rPr>
            <w:noProof/>
            <w:webHidden/>
          </w:rPr>
          <w:fldChar w:fldCharType="begin"/>
        </w:r>
        <w:r w:rsidR="00096500">
          <w:rPr>
            <w:noProof/>
            <w:webHidden/>
          </w:rPr>
          <w:instrText xml:space="preserve"> PAGEREF _Toc103285654 \h </w:instrText>
        </w:r>
        <w:r w:rsidR="00096500">
          <w:rPr>
            <w:noProof/>
            <w:webHidden/>
          </w:rPr>
        </w:r>
        <w:r w:rsidR="00096500">
          <w:rPr>
            <w:noProof/>
            <w:webHidden/>
          </w:rPr>
          <w:fldChar w:fldCharType="separate"/>
        </w:r>
        <w:r w:rsidR="00332578">
          <w:rPr>
            <w:noProof/>
            <w:webHidden/>
          </w:rPr>
          <w:t>5</w:t>
        </w:r>
        <w:r w:rsidR="00096500">
          <w:rPr>
            <w:noProof/>
            <w:webHidden/>
          </w:rPr>
          <w:fldChar w:fldCharType="end"/>
        </w:r>
      </w:hyperlink>
    </w:p>
    <w:p w14:paraId="0DCF08D3" w14:textId="7B1EA4AE" w:rsidR="00096500" w:rsidRDefault="00000000">
      <w:pPr>
        <w:pStyle w:val="TM2"/>
        <w:tabs>
          <w:tab w:val="right" w:leader="dot" w:pos="9056"/>
        </w:tabs>
        <w:rPr>
          <w:rFonts w:asciiTheme="minorHAnsi" w:eastAsiaTheme="minorEastAsia" w:hAnsiTheme="minorHAnsi"/>
          <w:noProof/>
          <w:sz w:val="24"/>
          <w:lang w:eastAsia="fr-FR"/>
        </w:rPr>
      </w:pPr>
      <w:hyperlink w:anchor="_Toc103285655" w:history="1">
        <w:r w:rsidR="00096500" w:rsidRPr="00D268D6">
          <w:rPr>
            <w:rStyle w:val="Lienhypertexte"/>
            <w:noProof/>
          </w:rPr>
          <w:t>Méthodologie</w:t>
        </w:r>
        <w:r w:rsidR="00096500">
          <w:rPr>
            <w:noProof/>
            <w:webHidden/>
          </w:rPr>
          <w:tab/>
        </w:r>
        <w:r w:rsidR="00096500">
          <w:rPr>
            <w:noProof/>
            <w:webHidden/>
          </w:rPr>
          <w:fldChar w:fldCharType="begin"/>
        </w:r>
        <w:r w:rsidR="00096500">
          <w:rPr>
            <w:noProof/>
            <w:webHidden/>
          </w:rPr>
          <w:instrText xml:space="preserve"> PAGEREF _Toc103285655 \h </w:instrText>
        </w:r>
        <w:r w:rsidR="00096500">
          <w:rPr>
            <w:noProof/>
            <w:webHidden/>
          </w:rPr>
        </w:r>
        <w:r w:rsidR="00096500">
          <w:rPr>
            <w:noProof/>
            <w:webHidden/>
          </w:rPr>
          <w:fldChar w:fldCharType="separate"/>
        </w:r>
        <w:r w:rsidR="00332578">
          <w:rPr>
            <w:noProof/>
            <w:webHidden/>
          </w:rPr>
          <w:t>5</w:t>
        </w:r>
        <w:r w:rsidR="00096500">
          <w:rPr>
            <w:noProof/>
            <w:webHidden/>
          </w:rPr>
          <w:fldChar w:fldCharType="end"/>
        </w:r>
      </w:hyperlink>
    </w:p>
    <w:p w14:paraId="5A924810" w14:textId="6C8270F9" w:rsidR="00096500" w:rsidRDefault="00000000">
      <w:pPr>
        <w:pStyle w:val="TM2"/>
        <w:tabs>
          <w:tab w:val="right" w:leader="dot" w:pos="9056"/>
        </w:tabs>
        <w:rPr>
          <w:rFonts w:asciiTheme="minorHAnsi" w:eastAsiaTheme="minorEastAsia" w:hAnsiTheme="minorHAnsi"/>
          <w:noProof/>
          <w:sz w:val="24"/>
          <w:lang w:eastAsia="fr-FR"/>
        </w:rPr>
      </w:pPr>
      <w:hyperlink w:anchor="_Toc103285656" w:history="1">
        <w:r w:rsidR="00096500" w:rsidRPr="00D268D6">
          <w:rPr>
            <w:rStyle w:val="Lienhypertexte"/>
            <w:noProof/>
          </w:rPr>
          <w:t>Ambition générale</w:t>
        </w:r>
        <w:r w:rsidR="00096500">
          <w:rPr>
            <w:noProof/>
            <w:webHidden/>
          </w:rPr>
          <w:tab/>
        </w:r>
        <w:r w:rsidR="00096500">
          <w:rPr>
            <w:noProof/>
            <w:webHidden/>
          </w:rPr>
          <w:fldChar w:fldCharType="begin"/>
        </w:r>
        <w:r w:rsidR="00096500">
          <w:rPr>
            <w:noProof/>
            <w:webHidden/>
          </w:rPr>
          <w:instrText xml:space="preserve"> PAGEREF _Toc103285656 \h </w:instrText>
        </w:r>
        <w:r w:rsidR="00096500">
          <w:rPr>
            <w:noProof/>
            <w:webHidden/>
          </w:rPr>
        </w:r>
        <w:r w:rsidR="00096500">
          <w:rPr>
            <w:noProof/>
            <w:webHidden/>
          </w:rPr>
          <w:fldChar w:fldCharType="separate"/>
        </w:r>
        <w:r w:rsidR="00332578">
          <w:rPr>
            <w:noProof/>
            <w:webHidden/>
          </w:rPr>
          <w:t>6</w:t>
        </w:r>
        <w:r w:rsidR="00096500">
          <w:rPr>
            <w:noProof/>
            <w:webHidden/>
          </w:rPr>
          <w:fldChar w:fldCharType="end"/>
        </w:r>
      </w:hyperlink>
    </w:p>
    <w:p w14:paraId="38E37D9B" w14:textId="001CEB1D" w:rsidR="00096500" w:rsidRDefault="00000000">
      <w:pPr>
        <w:pStyle w:val="TM2"/>
        <w:tabs>
          <w:tab w:val="right" w:leader="dot" w:pos="9056"/>
        </w:tabs>
        <w:rPr>
          <w:rFonts w:asciiTheme="minorHAnsi" w:eastAsiaTheme="minorEastAsia" w:hAnsiTheme="minorHAnsi"/>
          <w:noProof/>
          <w:sz w:val="24"/>
          <w:lang w:eastAsia="fr-FR"/>
        </w:rPr>
      </w:pPr>
      <w:hyperlink w:anchor="_Toc103285657" w:history="1">
        <w:r w:rsidR="00096500" w:rsidRPr="00D268D6">
          <w:rPr>
            <w:rStyle w:val="Lienhypertexte"/>
            <w:noProof/>
          </w:rPr>
          <w:t>Organisation et Mise en Œuvre</w:t>
        </w:r>
        <w:r w:rsidR="00096500">
          <w:rPr>
            <w:noProof/>
            <w:webHidden/>
          </w:rPr>
          <w:tab/>
        </w:r>
        <w:r w:rsidR="00096500">
          <w:rPr>
            <w:noProof/>
            <w:webHidden/>
          </w:rPr>
          <w:fldChar w:fldCharType="begin"/>
        </w:r>
        <w:r w:rsidR="00096500">
          <w:rPr>
            <w:noProof/>
            <w:webHidden/>
          </w:rPr>
          <w:instrText xml:space="preserve"> PAGEREF _Toc103285657 \h </w:instrText>
        </w:r>
        <w:r w:rsidR="00096500">
          <w:rPr>
            <w:noProof/>
            <w:webHidden/>
          </w:rPr>
        </w:r>
        <w:r w:rsidR="00096500">
          <w:rPr>
            <w:noProof/>
            <w:webHidden/>
          </w:rPr>
          <w:fldChar w:fldCharType="separate"/>
        </w:r>
        <w:r w:rsidR="00332578">
          <w:rPr>
            <w:noProof/>
            <w:webHidden/>
          </w:rPr>
          <w:t>6</w:t>
        </w:r>
        <w:r w:rsidR="00096500">
          <w:rPr>
            <w:noProof/>
            <w:webHidden/>
          </w:rPr>
          <w:fldChar w:fldCharType="end"/>
        </w:r>
      </w:hyperlink>
    </w:p>
    <w:p w14:paraId="0A567D73" w14:textId="3C3A4F46" w:rsidR="00096500" w:rsidRDefault="00000000">
      <w:pPr>
        <w:pStyle w:val="TM3"/>
        <w:tabs>
          <w:tab w:val="right" w:leader="dot" w:pos="9056"/>
        </w:tabs>
        <w:rPr>
          <w:rFonts w:asciiTheme="minorHAnsi" w:eastAsiaTheme="minorEastAsia" w:hAnsiTheme="minorHAnsi"/>
          <w:noProof/>
          <w:sz w:val="24"/>
          <w:lang w:eastAsia="fr-FR"/>
        </w:rPr>
      </w:pPr>
      <w:hyperlink w:anchor="_Toc103285658" w:history="1">
        <w:r w:rsidR="00096500" w:rsidRPr="00D268D6">
          <w:rPr>
            <w:rStyle w:val="Lienhypertexte"/>
            <w:noProof/>
          </w:rPr>
          <w:t>Moyens Humains</w:t>
        </w:r>
        <w:r w:rsidR="00096500">
          <w:rPr>
            <w:noProof/>
            <w:webHidden/>
          </w:rPr>
          <w:tab/>
        </w:r>
        <w:r w:rsidR="00096500">
          <w:rPr>
            <w:noProof/>
            <w:webHidden/>
          </w:rPr>
          <w:fldChar w:fldCharType="begin"/>
        </w:r>
        <w:r w:rsidR="00096500">
          <w:rPr>
            <w:noProof/>
            <w:webHidden/>
          </w:rPr>
          <w:instrText xml:space="preserve"> PAGEREF _Toc103285658 \h </w:instrText>
        </w:r>
        <w:r w:rsidR="00096500">
          <w:rPr>
            <w:noProof/>
            <w:webHidden/>
          </w:rPr>
        </w:r>
        <w:r w:rsidR="00096500">
          <w:rPr>
            <w:noProof/>
            <w:webHidden/>
          </w:rPr>
          <w:fldChar w:fldCharType="separate"/>
        </w:r>
        <w:r w:rsidR="00332578">
          <w:rPr>
            <w:noProof/>
            <w:webHidden/>
          </w:rPr>
          <w:t>6</w:t>
        </w:r>
        <w:r w:rsidR="00096500">
          <w:rPr>
            <w:noProof/>
            <w:webHidden/>
          </w:rPr>
          <w:fldChar w:fldCharType="end"/>
        </w:r>
      </w:hyperlink>
    </w:p>
    <w:p w14:paraId="33176BF6" w14:textId="30298FA7" w:rsidR="00096500" w:rsidRDefault="00000000">
      <w:pPr>
        <w:pStyle w:val="TM3"/>
        <w:tabs>
          <w:tab w:val="right" w:leader="dot" w:pos="9056"/>
        </w:tabs>
        <w:rPr>
          <w:rFonts w:asciiTheme="minorHAnsi" w:eastAsiaTheme="minorEastAsia" w:hAnsiTheme="minorHAnsi"/>
          <w:noProof/>
          <w:sz w:val="24"/>
          <w:lang w:eastAsia="fr-FR"/>
        </w:rPr>
      </w:pPr>
      <w:hyperlink w:anchor="_Toc103285659" w:history="1">
        <w:r w:rsidR="00096500" w:rsidRPr="00D268D6">
          <w:rPr>
            <w:rStyle w:val="Lienhypertexte"/>
            <w:noProof/>
          </w:rPr>
          <w:t>Moyens financiers additionnels</w:t>
        </w:r>
        <w:r w:rsidR="00096500">
          <w:rPr>
            <w:noProof/>
            <w:webHidden/>
          </w:rPr>
          <w:tab/>
        </w:r>
        <w:r w:rsidR="00096500">
          <w:rPr>
            <w:noProof/>
            <w:webHidden/>
          </w:rPr>
          <w:fldChar w:fldCharType="begin"/>
        </w:r>
        <w:r w:rsidR="00096500">
          <w:rPr>
            <w:noProof/>
            <w:webHidden/>
          </w:rPr>
          <w:instrText xml:space="preserve"> PAGEREF _Toc103285659 \h </w:instrText>
        </w:r>
        <w:r w:rsidR="00096500">
          <w:rPr>
            <w:noProof/>
            <w:webHidden/>
          </w:rPr>
        </w:r>
        <w:r w:rsidR="00096500">
          <w:rPr>
            <w:noProof/>
            <w:webHidden/>
          </w:rPr>
          <w:fldChar w:fldCharType="separate"/>
        </w:r>
        <w:r w:rsidR="00332578">
          <w:rPr>
            <w:noProof/>
            <w:webHidden/>
          </w:rPr>
          <w:t>7</w:t>
        </w:r>
        <w:r w:rsidR="00096500">
          <w:rPr>
            <w:noProof/>
            <w:webHidden/>
          </w:rPr>
          <w:fldChar w:fldCharType="end"/>
        </w:r>
      </w:hyperlink>
    </w:p>
    <w:p w14:paraId="24958546" w14:textId="47BE6F3E" w:rsidR="00096500" w:rsidRDefault="00000000">
      <w:pPr>
        <w:pStyle w:val="TM3"/>
        <w:tabs>
          <w:tab w:val="right" w:leader="dot" w:pos="9056"/>
        </w:tabs>
        <w:rPr>
          <w:rFonts w:asciiTheme="minorHAnsi" w:eastAsiaTheme="minorEastAsia" w:hAnsiTheme="minorHAnsi"/>
          <w:noProof/>
          <w:sz w:val="24"/>
          <w:lang w:eastAsia="fr-FR"/>
        </w:rPr>
      </w:pPr>
      <w:hyperlink w:anchor="_Toc103285660" w:history="1">
        <w:r w:rsidR="00096500" w:rsidRPr="00D268D6">
          <w:rPr>
            <w:rStyle w:val="Lienhypertexte"/>
            <w:noProof/>
          </w:rPr>
          <w:t>Adossement au Schéma directeur du Handicap (SDH)</w:t>
        </w:r>
        <w:r w:rsidR="00096500">
          <w:rPr>
            <w:noProof/>
            <w:webHidden/>
          </w:rPr>
          <w:tab/>
        </w:r>
        <w:r w:rsidR="00096500">
          <w:rPr>
            <w:noProof/>
            <w:webHidden/>
          </w:rPr>
          <w:fldChar w:fldCharType="begin"/>
        </w:r>
        <w:r w:rsidR="00096500">
          <w:rPr>
            <w:noProof/>
            <w:webHidden/>
          </w:rPr>
          <w:instrText xml:space="preserve"> PAGEREF _Toc103285660 \h </w:instrText>
        </w:r>
        <w:r w:rsidR="00096500">
          <w:rPr>
            <w:noProof/>
            <w:webHidden/>
          </w:rPr>
        </w:r>
        <w:r w:rsidR="00096500">
          <w:rPr>
            <w:noProof/>
            <w:webHidden/>
          </w:rPr>
          <w:fldChar w:fldCharType="separate"/>
        </w:r>
        <w:r w:rsidR="00332578">
          <w:rPr>
            <w:noProof/>
            <w:webHidden/>
          </w:rPr>
          <w:t>7</w:t>
        </w:r>
        <w:r w:rsidR="00096500">
          <w:rPr>
            <w:noProof/>
            <w:webHidden/>
          </w:rPr>
          <w:fldChar w:fldCharType="end"/>
        </w:r>
      </w:hyperlink>
    </w:p>
    <w:p w14:paraId="17269E28" w14:textId="79A83470" w:rsidR="00096500" w:rsidRDefault="00000000">
      <w:pPr>
        <w:pStyle w:val="TM3"/>
        <w:tabs>
          <w:tab w:val="right" w:leader="dot" w:pos="9056"/>
        </w:tabs>
        <w:rPr>
          <w:rFonts w:asciiTheme="minorHAnsi" w:eastAsiaTheme="minorEastAsia" w:hAnsiTheme="minorHAnsi"/>
          <w:noProof/>
          <w:sz w:val="24"/>
          <w:lang w:eastAsia="fr-FR"/>
        </w:rPr>
      </w:pPr>
      <w:hyperlink w:anchor="_Toc103285661" w:history="1">
        <w:r w:rsidR="00096500" w:rsidRPr="00D268D6">
          <w:rPr>
            <w:rStyle w:val="Lienhypertexte"/>
            <w:noProof/>
          </w:rPr>
          <w:t>Pilotage</w:t>
        </w:r>
        <w:r w:rsidR="00096500">
          <w:rPr>
            <w:noProof/>
            <w:webHidden/>
          </w:rPr>
          <w:tab/>
        </w:r>
        <w:r w:rsidR="00096500">
          <w:rPr>
            <w:noProof/>
            <w:webHidden/>
          </w:rPr>
          <w:fldChar w:fldCharType="begin"/>
        </w:r>
        <w:r w:rsidR="00096500">
          <w:rPr>
            <w:noProof/>
            <w:webHidden/>
          </w:rPr>
          <w:instrText xml:space="preserve"> PAGEREF _Toc103285661 \h </w:instrText>
        </w:r>
        <w:r w:rsidR="00096500">
          <w:rPr>
            <w:noProof/>
            <w:webHidden/>
          </w:rPr>
        </w:r>
        <w:r w:rsidR="00096500">
          <w:rPr>
            <w:noProof/>
            <w:webHidden/>
          </w:rPr>
          <w:fldChar w:fldCharType="separate"/>
        </w:r>
        <w:r w:rsidR="00332578">
          <w:rPr>
            <w:noProof/>
            <w:webHidden/>
          </w:rPr>
          <w:t>8</w:t>
        </w:r>
        <w:r w:rsidR="00096500">
          <w:rPr>
            <w:noProof/>
            <w:webHidden/>
          </w:rPr>
          <w:fldChar w:fldCharType="end"/>
        </w:r>
      </w:hyperlink>
    </w:p>
    <w:p w14:paraId="3F8E2233" w14:textId="5C48A510" w:rsidR="00096500" w:rsidRDefault="00000000">
      <w:pPr>
        <w:pStyle w:val="TM3"/>
        <w:tabs>
          <w:tab w:val="right" w:leader="dot" w:pos="9056"/>
        </w:tabs>
        <w:rPr>
          <w:rFonts w:asciiTheme="minorHAnsi" w:eastAsiaTheme="minorEastAsia" w:hAnsiTheme="minorHAnsi"/>
          <w:noProof/>
          <w:sz w:val="24"/>
          <w:lang w:eastAsia="fr-FR"/>
        </w:rPr>
      </w:pPr>
      <w:hyperlink w:anchor="_Toc103285662" w:history="1">
        <w:r w:rsidR="00096500" w:rsidRPr="00D268D6">
          <w:rPr>
            <w:rStyle w:val="Lienhypertexte"/>
            <w:noProof/>
          </w:rPr>
          <w:t>Diagnostic d’accessibilité : méthodologie</w:t>
        </w:r>
        <w:r w:rsidR="00096500">
          <w:rPr>
            <w:noProof/>
            <w:webHidden/>
          </w:rPr>
          <w:tab/>
        </w:r>
        <w:r w:rsidR="00096500">
          <w:rPr>
            <w:noProof/>
            <w:webHidden/>
          </w:rPr>
          <w:fldChar w:fldCharType="begin"/>
        </w:r>
        <w:r w:rsidR="00096500">
          <w:rPr>
            <w:noProof/>
            <w:webHidden/>
          </w:rPr>
          <w:instrText xml:space="preserve"> PAGEREF _Toc103285662 \h </w:instrText>
        </w:r>
        <w:r w:rsidR="00096500">
          <w:rPr>
            <w:noProof/>
            <w:webHidden/>
          </w:rPr>
        </w:r>
        <w:r w:rsidR="00096500">
          <w:rPr>
            <w:noProof/>
            <w:webHidden/>
          </w:rPr>
          <w:fldChar w:fldCharType="separate"/>
        </w:r>
        <w:r w:rsidR="00332578">
          <w:rPr>
            <w:noProof/>
            <w:webHidden/>
          </w:rPr>
          <w:t>8</w:t>
        </w:r>
        <w:r w:rsidR="00096500">
          <w:rPr>
            <w:noProof/>
            <w:webHidden/>
          </w:rPr>
          <w:fldChar w:fldCharType="end"/>
        </w:r>
      </w:hyperlink>
    </w:p>
    <w:p w14:paraId="4AC2C4CF" w14:textId="65996031" w:rsidR="00096500" w:rsidRDefault="00000000">
      <w:pPr>
        <w:pStyle w:val="TM3"/>
        <w:tabs>
          <w:tab w:val="right" w:leader="dot" w:pos="9056"/>
        </w:tabs>
        <w:rPr>
          <w:rFonts w:asciiTheme="minorHAnsi" w:eastAsiaTheme="minorEastAsia" w:hAnsiTheme="minorHAnsi"/>
          <w:noProof/>
          <w:sz w:val="24"/>
          <w:lang w:eastAsia="fr-FR"/>
        </w:rPr>
      </w:pPr>
      <w:hyperlink w:anchor="_Toc103285663" w:history="1">
        <w:r w:rsidR="00096500" w:rsidRPr="00D268D6">
          <w:rPr>
            <w:rStyle w:val="Lienhypertexte"/>
            <w:noProof/>
          </w:rPr>
          <w:t>Intégration de l’accessibilité numérique dans les projets et dans les procédures d’élaboration de marchés publics</w:t>
        </w:r>
        <w:r w:rsidR="00096500">
          <w:rPr>
            <w:noProof/>
            <w:webHidden/>
          </w:rPr>
          <w:tab/>
        </w:r>
        <w:r w:rsidR="00096500">
          <w:rPr>
            <w:noProof/>
            <w:webHidden/>
          </w:rPr>
          <w:fldChar w:fldCharType="begin"/>
        </w:r>
        <w:r w:rsidR="00096500">
          <w:rPr>
            <w:noProof/>
            <w:webHidden/>
          </w:rPr>
          <w:instrText xml:space="preserve"> PAGEREF _Toc103285663 \h </w:instrText>
        </w:r>
        <w:r w:rsidR="00096500">
          <w:rPr>
            <w:noProof/>
            <w:webHidden/>
          </w:rPr>
        </w:r>
        <w:r w:rsidR="00096500">
          <w:rPr>
            <w:noProof/>
            <w:webHidden/>
          </w:rPr>
          <w:fldChar w:fldCharType="separate"/>
        </w:r>
        <w:r w:rsidR="00332578">
          <w:rPr>
            <w:noProof/>
            <w:webHidden/>
          </w:rPr>
          <w:t>8</w:t>
        </w:r>
        <w:r w:rsidR="00096500">
          <w:rPr>
            <w:noProof/>
            <w:webHidden/>
          </w:rPr>
          <w:fldChar w:fldCharType="end"/>
        </w:r>
      </w:hyperlink>
    </w:p>
    <w:p w14:paraId="2D052193" w14:textId="135263A4" w:rsidR="00096500" w:rsidRDefault="00000000">
      <w:pPr>
        <w:pStyle w:val="TM2"/>
        <w:tabs>
          <w:tab w:val="right" w:leader="dot" w:pos="9056"/>
        </w:tabs>
        <w:rPr>
          <w:rFonts w:asciiTheme="minorHAnsi" w:eastAsiaTheme="minorEastAsia" w:hAnsiTheme="minorHAnsi"/>
          <w:noProof/>
          <w:sz w:val="24"/>
          <w:lang w:eastAsia="fr-FR"/>
        </w:rPr>
      </w:pPr>
      <w:hyperlink w:anchor="_Toc103285664" w:history="1">
        <w:r w:rsidR="00096500" w:rsidRPr="00D268D6">
          <w:rPr>
            <w:rStyle w:val="Lienhypertexte"/>
            <w:noProof/>
          </w:rPr>
          <w:t>Gestion de compétences</w:t>
        </w:r>
        <w:r w:rsidR="00096500">
          <w:rPr>
            <w:noProof/>
            <w:webHidden/>
          </w:rPr>
          <w:tab/>
        </w:r>
        <w:r w:rsidR="00096500">
          <w:rPr>
            <w:noProof/>
            <w:webHidden/>
          </w:rPr>
          <w:fldChar w:fldCharType="begin"/>
        </w:r>
        <w:r w:rsidR="00096500">
          <w:rPr>
            <w:noProof/>
            <w:webHidden/>
          </w:rPr>
          <w:instrText xml:space="preserve"> PAGEREF _Toc103285664 \h </w:instrText>
        </w:r>
        <w:r w:rsidR="00096500">
          <w:rPr>
            <w:noProof/>
            <w:webHidden/>
          </w:rPr>
        </w:r>
        <w:r w:rsidR="00096500">
          <w:rPr>
            <w:noProof/>
            <w:webHidden/>
          </w:rPr>
          <w:fldChar w:fldCharType="separate"/>
        </w:r>
        <w:r w:rsidR="00332578">
          <w:rPr>
            <w:noProof/>
            <w:webHidden/>
          </w:rPr>
          <w:t>9</w:t>
        </w:r>
        <w:r w:rsidR="00096500">
          <w:rPr>
            <w:noProof/>
            <w:webHidden/>
          </w:rPr>
          <w:fldChar w:fldCharType="end"/>
        </w:r>
      </w:hyperlink>
    </w:p>
    <w:p w14:paraId="38E5DF37" w14:textId="5B0D1AB7" w:rsidR="00096500" w:rsidRDefault="00000000">
      <w:pPr>
        <w:pStyle w:val="TM2"/>
        <w:tabs>
          <w:tab w:val="right" w:leader="dot" w:pos="9056"/>
        </w:tabs>
        <w:rPr>
          <w:rFonts w:asciiTheme="minorHAnsi" w:eastAsiaTheme="minorEastAsia" w:hAnsiTheme="minorHAnsi"/>
          <w:noProof/>
          <w:sz w:val="24"/>
          <w:lang w:eastAsia="fr-FR"/>
        </w:rPr>
      </w:pPr>
      <w:hyperlink w:anchor="_Toc103285665" w:history="1">
        <w:r w:rsidR="00096500" w:rsidRPr="00D268D6">
          <w:rPr>
            <w:rStyle w:val="Lienhypertexte"/>
            <w:noProof/>
          </w:rPr>
          <w:t>Le SPAN : chiffres et calendrier</w:t>
        </w:r>
        <w:r w:rsidR="00096500">
          <w:rPr>
            <w:noProof/>
            <w:webHidden/>
          </w:rPr>
          <w:tab/>
        </w:r>
        <w:r w:rsidR="00096500">
          <w:rPr>
            <w:noProof/>
            <w:webHidden/>
          </w:rPr>
          <w:fldChar w:fldCharType="begin"/>
        </w:r>
        <w:r w:rsidR="00096500">
          <w:rPr>
            <w:noProof/>
            <w:webHidden/>
          </w:rPr>
          <w:instrText xml:space="preserve"> PAGEREF _Toc103285665 \h </w:instrText>
        </w:r>
        <w:r w:rsidR="00096500">
          <w:rPr>
            <w:noProof/>
            <w:webHidden/>
          </w:rPr>
        </w:r>
        <w:r w:rsidR="00096500">
          <w:rPr>
            <w:noProof/>
            <w:webHidden/>
          </w:rPr>
          <w:fldChar w:fldCharType="separate"/>
        </w:r>
        <w:r w:rsidR="00332578">
          <w:rPr>
            <w:noProof/>
            <w:webHidden/>
          </w:rPr>
          <w:t>10</w:t>
        </w:r>
        <w:r w:rsidR="00096500">
          <w:rPr>
            <w:noProof/>
            <w:webHidden/>
          </w:rPr>
          <w:fldChar w:fldCharType="end"/>
        </w:r>
      </w:hyperlink>
    </w:p>
    <w:p w14:paraId="65B12083" w14:textId="04184244" w:rsidR="00096500" w:rsidRDefault="00000000">
      <w:pPr>
        <w:pStyle w:val="TM3"/>
        <w:tabs>
          <w:tab w:val="right" w:leader="dot" w:pos="9056"/>
        </w:tabs>
        <w:rPr>
          <w:rFonts w:asciiTheme="minorHAnsi" w:eastAsiaTheme="minorEastAsia" w:hAnsiTheme="minorHAnsi"/>
          <w:noProof/>
          <w:sz w:val="24"/>
          <w:lang w:eastAsia="fr-FR"/>
        </w:rPr>
      </w:pPr>
      <w:hyperlink w:anchor="_Toc103285666" w:history="1">
        <w:r w:rsidR="00096500" w:rsidRPr="00D268D6">
          <w:rPr>
            <w:rStyle w:val="Lienhypertexte"/>
            <w:noProof/>
          </w:rPr>
          <w:t>Les actions en 2022</w:t>
        </w:r>
        <w:r w:rsidR="00096500">
          <w:rPr>
            <w:noProof/>
            <w:webHidden/>
          </w:rPr>
          <w:tab/>
        </w:r>
        <w:r w:rsidR="00096500">
          <w:rPr>
            <w:noProof/>
            <w:webHidden/>
          </w:rPr>
          <w:fldChar w:fldCharType="begin"/>
        </w:r>
        <w:r w:rsidR="00096500">
          <w:rPr>
            <w:noProof/>
            <w:webHidden/>
          </w:rPr>
          <w:instrText xml:space="preserve"> PAGEREF _Toc103285666 \h </w:instrText>
        </w:r>
        <w:r w:rsidR="00096500">
          <w:rPr>
            <w:noProof/>
            <w:webHidden/>
          </w:rPr>
        </w:r>
        <w:r w:rsidR="00096500">
          <w:rPr>
            <w:noProof/>
            <w:webHidden/>
          </w:rPr>
          <w:fldChar w:fldCharType="separate"/>
        </w:r>
        <w:r w:rsidR="00332578">
          <w:rPr>
            <w:noProof/>
            <w:webHidden/>
          </w:rPr>
          <w:t>10</w:t>
        </w:r>
        <w:r w:rsidR="00096500">
          <w:rPr>
            <w:noProof/>
            <w:webHidden/>
          </w:rPr>
          <w:fldChar w:fldCharType="end"/>
        </w:r>
      </w:hyperlink>
    </w:p>
    <w:p w14:paraId="57393222" w14:textId="344A902C" w:rsidR="00096500" w:rsidRDefault="00000000">
      <w:pPr>
        <w:pStyle w:val="TM3"/>
        <w:tabs>
          <w:tab w:val="right" w:leader="dot" w:pos="9056"/>
        </w:tabs>
        <w:rPr>
          <w:rFonts w:asciiTheme="minorHAnsi" w:eastAsiaTheme="minorEastAsia" w:hAnsiTheme="minorHAnsi"/>
          <w:noProof/>
          <w:sz w:val="24"/>
          <w:lang w:eastAsia="fr-FR"/>
        </w:rPr>
      </w:pPr>
      <w:hyperlink w:anchor="_Toc103285667" w:history="1">
        <w:r w:rsidR="00096500" w:rsidRPr="00D268D6">
          <w:rPr>
            <w:rStyle w:val="Lienhypertexte"/>
            <w:noProof/>
          </w:rPr>
          <w:t>Les actions en 2023</w:t>
        </w:r>
        <w:r w:rsidR="00096500">
          <w:rPr>
            <w:noProof/>
            <w:webHidden/>
          </w:rPr>
          <w:tab/>
        </w:r>
        <w:r w:rsidR="00096500">
          <w:rPr>
            <w:noProof/>
            <w:webHidden/>
          </w:rPr>
          <w:fldChar w:fldCharType="begin"/>
        </w:r>
        <w:r w:rsidR="00096500">
          <w:rPr>
            <w:noProof/>
            <w:webHidden/>
          </w:rPr>
          <w:instrText xml:space="preserve"> PAGEREF _Toc103285667 \h </w:instrText>
        </w:r>
        <w:r w:rsidR="00096500">
          <w:rPr>
            <w:noProof/>
            <w:webHidden/>
          </w:rPr>
        </w:r>
        <w:r w:rsidR="00096500">
          <w:rPr>
            <w:noProof/>
            <w:webHidden/>
          </w:rPr>
          <w:fldChar w:fldCharType="separate"/>
        </w:r>
        <w:r w:rsidR="00332578">
          <w:rPr>
            <w:noProof/>
            <w:webHidden/>
          </w:rPr>
          <w:t>10</w:t>
        </w:r>
        <w:r w:rsidR="00096500">
          <w:rPr>
            <w:noProof/>
            <w:webHidden/>
          </w:rPr>
          <w:fldChar w:fldCharType="end"/>
        </w:r>
      </w:hyperlink>
    </w:p>
    <w:p w14:paraId="48451572" w14:textId="5B8D9379" w:rsidR="00096500" w:rsidRDefault="00000000">
      <w:pPr>
        <w:pStyle w:val="TM3"/>
        <w:tabs>
          <w:tab w:val="right" w:leader="dot" w:pos="9056"/>
        </w:tabs>
        <w:rPr>
          <w:rFonts w:asciiTheme="minorHAnsi" w:eastAsiaTheme="minorEastAsia" w:hAnsiTheme="minorHAnsi"/>
          <w:noProof/>
          <w:sz w:val="24"/>
          <w:lang w:eastAsia="fr-FR"/>
        </w:rPr>
      </w:pPr>
      <w:hyperlink w:anchor="_Toc103285668" w:history="1">
        <w:r w:rsidR="00096500" w:rsidRPr="00D268D6">
          <w:rPr>
            <w:rStyle w:val="Lienhypertexte"/>
            <w:noProof/>
          </w:rPr>
          <w:t>Les actions en 2024</w:t>
        </w:r>
        <w:r w:rsidR="00096500">
          <w:rPr>
            <w:noProof/>
            <w:webHidden/>
          </w:rPr>
          <w:tab/>
        </w:r>
        <w:r w:rsidR="00096500">
          <w:rPr>
            <w:noProof/>
            <w:webHidden/>
          </w:rPr>
          <w:fldChar w:fldCharType="begin"/>
        </w:r>
        <w:r w:rsidR="00096500">
          <w:rPr>
            <w:noProof/>
            <w:webHidden/>
          </w:rPr>
          <w:instrText xml:space="preserve"> PAGEREF _Toc103285668 \h </w:instrText>
        </w:r>
        <w:r w:rsidR="00096500">
          <w:rPr>
            <w:noProof/>
            <w:webHidden/>
          </w:rPr>
        </w:r>
        <w:r w:rsidR="00096500">
          <w:rPr>
            <w:noProof/>
            <w:webHidden/>
          </w:rPr>
          <w:fldChar w:fldCharType="separate"/>
        </w:r>
        <w:r w:rsidR="00332578">
          <w:rPr>
            <w:noProof/>
            <w:webHidden/>
          </w:rPr>
          <w:t>10</w:t>
        </w:r>
        <w:r w:rsidR="00096500">
          <w:rPr>
            <w:noProof/>
            <w:webHidden/>
          </w:rPr>
          <w:fldChar w:fldCharType="end"/>
        </w:r>
      </w:hyperlink>
    </w:p>
    <w:p w14:paraId="1D54A11D" w14:textId="274370E8" w:rsidR="00096500" w:rsidRDefault="00000000">
      <w:pPr>
        <w:pStyle w:val="TM3"/>
        <w:tabs>
          <w:tab w:val="right" w:leader="dot" w:pos="9056"/>
        </w:tabs>
        <w:rPr>
          <w:rFonts w:asciiTheme="minorHAnsi" w:eastAsiaTheme="minorEastAsia" w:hAnsiTheme="minorHAnsi"/>
          <w:noProof/>
          <w:sz w:val="24"/>
          <w:lang w:eastAsia="fr-FR"/>
        </w:rPr>
      </w:pPr>
      <w:hyperlink w:anchor="_Toc103285669" w:history="1">
        <w:r w:rsidR="00096500" w:rsidRPr="00D268D6">
          <w:rPr>
            <w:rStyle w:val="Lienhypertexte"/>
            <w:noProof/>
          </w:rPr>
          <w:t>Les actions 2025</w:t>
        </w:r>
        <w:r w:rsidR="00096500">
          <w:rPr>
            <w:noProof/>
            <w:webHidden/>
          </w:rPr>
          <w:tab/>
        </w:r>
        <w:r w:rsidR="00096500">
          <w:rPr>
            <w:noProof/>
            <w:webHidden/>
          </w:rPr>
          <w:fldChar w:fldCharType="begin"/>
        </w:r>
        <w:r w:rsidR="00096500">
          <w:rPr>
            <w:noProof/>
            <w:webHidden/>
          </w:rPr>
          <w:instrText xml:space="preserve"> PAGEREF _Toc103285669 \h </w:instrText>
        </w:r>
        <w:r w:rsidR="00096500">
          <w:rPr>
            <w:noProof/>
            <w:webHidden/>
          </w:rPr>
        </w:r>
        <w:r w:rsidR="00096500">
          <w:rPr>
            <w:noProof/>
            <w:webHidden/>
          </w:rPr>
          <w:fldChar w:fldCharType="separate"/>
        </w:r>
        <w:r w:rsidR="00332578">
          <w:rPr>
            <w:noProof/>
            <w:webHidden/>
          </w:rPr>
          <w:t>11</w:t>
        </w:r>
        <w:r w:rsidR="00096500">
          <w:rPr>
            <w:noProof/>
            <w:webHidden/>
          </w:rPr>
          <w:fldChar w:fldCharType="end"/>
        </w:r>
      </w:hyperlink>
    </w:p>
    <w:p w14:paraId="52B5A230" w14:textId="38CE3FF2" w:rsidR="00096500" w:rsidRDefault="00000000">
      <w:pPr>
        <w:pStyle w:val="TM3"/>
        <w:tabs>
          <w:tab w:val="right" w:leader="dot" w:pos="9056"/>
        </w:tabs>
        <w:rPr>
          <w:rFonts w:asciiTheme="minorHAnsi" w:eastAsiaTheme="minorEastAsia" w:hAnsiTheme="minorHAnsi"/>
          <w:noProof/>
          <w:sz w:val="24"/>
          <w:lang w:eastAsia="fr-FR"/>
        </w:rPr>
      </w:pPr>
      <w:hyperlink w:anchor="_Toc103285670" w:history="1">
        <w:r w:rsidR="00096500" w:rsidRPr="00D268D6">
          <w:rPr>
            <w:rStyle w:val="Lienhypertexte"/>
            <w:noProof/>
          </w:rPr>
          <w:t>Les éléments budgétaires</w:t>
        </w:r>
        <w:r w:rsidR="00096500">
          <w:rPr>
            <w:noProof/>
            <w:webHidden/>
          </w:rPr>
          <w:tab/>
        </w:r>
        <w:r w:rsidR="00096500">
          <w:rPr>
            <w:noProof/>
            <w:webHidden/>
          </w:rPr>
          <w:fldChar w:fldCharType="begin"/>
        </w:r>
        <w:r w:rsidR="00096500">
          <w:rPr>
            <w:noProof/>
            <w:webHidden/>
          </w:rPr>
          <w:instrText xml:space="preserve"> PAGEREF _Toc103285670 \h </w:instrText>
        </w:r>
        <w:r w:rsidR="00096500">
          <w:rPr>
            <w:noProof/>
            <w:webHidden/>
          </w:rPr>
        </w:r>
        <w:r w:rsidR="00096500">
          <w:rPr>
            <w:noProof/>
            <w:webHidden/>
          </w:rPr>
          <w:fldChar w:fldCharType="separate"/>
        </w:r>
        <w:r w:rsidR="00332578">
          <w:rPr>
            <w:noProof/>
            <w:webHidden/>
          </w:rPr>
          <w:t>11</w:t>
        </w:r>
        <w:r w:rsidR="00096500">
          <w:rPr>
            <w:noProof/>
            <w:webHidden/>
          </w:rPr>
          <w:fldChar w:fldCharType="end"/>
        </w:r>
      </w:hyperlink>
    </w:p>
    <w:p w14:paraId="1D1BDE50" w14:textId="247CEC67" w:rsidR="00096500" w:rsidRDefault="00000000">
      <w:pPr>
        <w:pStyle w:val="TM1"/>
        <w:tabs>
          <w:tab w:val="right" w:leader="dot" w:pos="9056"/>
        </w:tabs>
        <w:rPr>
          <w:rFonts w:asciiTheme="minorHAnsi" w:eastAsiaTheme="minorEastAsia" w:hAnsiTheme="minorHAnsi"/>
          <w:b w:val="0"/>
          <w:noProof/>
          <w:sz w:val="24"/>
          <w:lang w:eastAsia="fr-FR"/>
        </w:rPr>
      </w:pPr>
      <w:hyperlink w:anchor="_Toc103285671" w:history="1">
        <w:r w:rsidR="00096500" w:rsidRPr="00D268D6">
          <w:rPr>
            <w:rStyle w:val="Lienhypertexte"/>
            <w:noProof/>
          </w:rPr>
          <w:t>Annexes</w:t>
        </w:r>
        <w:r w:rsidR="00096500">
          <w:rPr>
            <w:noProof/>
            <w:webHidden/>
          </w:rPr>
          <w:tab/>
        </w:r>
        <w:r w:rsidR="00096500">
          <w:rPr>
            <w:noProof/>
            <w:webHidden/>
          </w:rPr>
          <w:fldChar w:fldCharType="begin"/>
        </w:r>
        <w:r w:rsidR="00096500">
          <w:rPr>
            <w:noProof/>
            <w:webHidden/>
          </w:rPr>
          <w:instrText xml:space="preserve"> PAGEREF _Toc103285671 \h </w:instrText>
        </w:r>
        <w:r w:rsidR="00096500">
          <w:rPr>
            <w:noProof/>
            <w:webHidden/>
          </w:rPr>
        </w:r>
        <w:r w:rsidR="00096500">
          <w:rPr>
            <w:noProof/>
            <w:webHidden/>
          </w:rPr>
          <w:fldChar w:fldCharType="separate"/>
        </w:r>
        <w:r w:rsidR="00332578">
          <w:rPr>
            <w:noProof/>
            <w:webHidden/>
          </w:rPr>
          <w:t>12</w:t>
        </w:r>
        <w:r w:rsidR="00096500">
          <w:rPr>
            <w:noProof/>
            <w:webHidden/>
          </w:rPr>
          <w:fldChar w:fldCharType="end"/>
        </w:r>
      </w:hyperlink>
    </w:p>
    <w:p w14:paraId="512C527E" w14:textId="167FA076" w:rsidR="00096500" w:rsidRDefault="00000000">
      <w:pPr>
        <w:pStyle w:val="TM2"/>
        <w:tabs>
          <w:tab w:val="right" w:leader="dot" w:pos="9056"/>
        </w:tabs>
        <w:rPr>
          <w:rFonts w:asciiTheme="minorHAnsi" w:eastAsiaTheme="minorEastAsia" w:hAnsiTheme="minorHAnsi"/>
          <w:noProof/>
          <w:sz w:val="24"/>
          <w:lang w:eastAsia="fr-FR"/>
        </w:rPr>
      </w:pPr>
      <w:hyperlink w:anchor="_Toc103285672" w:history="1">
        <w:r w:rsidR="00096500" w:rsidRPr="00D268D6">
          <w:rPr>
            <w:rStyle w:val="Lienhypertexte"/>
            <w:noProof/>
          </w:rPr>
          <w:t>Annexe 1 - État des lieux en nombre d’applications, outils ou sites numériques</w:t>
        </w:r>
        <w:r w:rsidR="00096500">
          <w:rPr>
            <w:noProof/>
            <w:webHidden/>
          </w:rPr>
          <w:tab/>
        </w:r>
        <w:r w:rsidR="00096500">
          <w:rPr>
            <w:noProof/>
            <w:webHidden/>
          </w:rPr>
          <w:fldChar w:fldCharType="begin"/>
        </w:r>
        <w:r w:rsidR="00096500">
          <w:rPr>
            <w:noProof/>
            <w:webHidden/>
          </w:rPr>
          <w:instrText xml:space="preserve"> PAGEREF _Toc103285672 \h </w:instrText>
        </w:r>
        <w:r w:rsidR="00096500">
          <w:rPr>
            <w:noProof/>
            <w:webHidden/>
          </w:rPr>
        </w:r>
        <w:r w:rsidR="00096500">
          <w:rPr>
            <w:noProof/>
            <w:webHidden/>
          </w:rPr>
          <w:fldChar w:fldCharType="separate"/>
        </w:r>
        <w:r w:rsidR="00332578">
          <w:rPr>
            <w:noProof/>
            <w:webHidden/>
          </w:rPr>
          <w:t>12</w:t>
        </w:r>
        <w:r w:rsidR="00096500">
          <w:rPr>
            <w:noProof/>
            <w:webHidden/>
          </w:rPr>
          <w:fldChar w:fldCharType="end"/>
        </w:r>
      </w:hyperlink>
    </w:p>
    <w:p w14:paraId="2C6584CA" w14:textId="3B0CDB41" w:rsidR="00096500" w:rsidRDefault="00000000">
      <w:pPr>
        <w:pStyle w:val="TM2"/>
        <w:tabs>
          <w:tab w:val="right" w:leader="dot" w:pos="9056"/>
        </w:tabs>
        <w:rPr>
          <w:rFonts w:asciiTheme="minorHAnsi" w:eastAsiaTheme="minorEastAsia" w:hAnsiTheme="minorHAnsi"/>
          <w:noProof/>
          <w:sz w:val="24"/>
          <w:lang w:eastAsia="fr-FR"/>
        </w:rPr>
      </w:pPr>
      <w:hyperlink w:anchor="_Toc103285673" w:history="1">
        <w:r w:rsidR="00096500" w:rsidRPr="00D268D6">
          <w:rPr>
            <w:rStyle w:val="Lienhypertexte"/>
            <w:noProof/>
          </w:rPr>
          <w:t>Annexe 2 - Liste des applications numériques retenues pour une mise en conformité</w:t>
        </w:r>
        <w:r w:rsidR="00096500">
          <w:rPr>
            <w:noProof/>
            <w:webHidden/>
          </w:rPr>
          <w:tab/>
        </w:r>
        <w:r w:rsidR="00096500">
          <w:rPr>
            <w:noProof/>
            <w:webHidden/>
          </w:rPr>
          <w:fldChar w:fldCharType="begin"/>
        </w:r>
        <w:r w:rsidR="00096500">
          <w:rPr>
            <w:noProof/>
            <w:webHidden/>
          </w:rPr>
          <w:instrText xml:space="preserve"> PAGEREF _Toc103285673 \h </w:instrText>
        </w:r>
        <w:r w:rsidR="00096500">
          <w:rPr>
            <w:noProof/>
            <w:webHidden/>
          </w:rPr>
        </w:r>
        <w:r w:rsidR="00096500">
          <w:rPr>
            <w:noProof/>
            <w:webHidden/>
          </w:rPr>
          <w:fldChar w:fldCharType="separate"/>
        </w:r>
        <w:r w:rsidR="00332578">
          <w:rPr>
            <w:noProof/>
            <w:webHidden/>
          </w:rPr>
          <w:t>12</w:t>
        </w:r>
        <w:r w:rsidR="00096500">
          <w:rPr>
            <w:noProof/>
            <w:webHidden/>
          </w:rPr>
          <w:fldChar w:fldCharType="end"/>
        </w:r>
      </w:hyperlink>
    </w:p>
    <w:p w14:paraId="4DA40B21" w14:textId="0A9877EE" w:rsidR="00096500" w:rsidRDefault="00000000">
      <w:pPr>
        <w:pStyle w:val="TM2"/>
        <w:tabs>
          <w:tab w:val="right" w:leader="dot" w:pos="9056"/>
        </w:tabs>
        <w:rPr>
          <w:rFonts w:asciiTheme="minorHAnsi" w:eastAsiaTheme="minorEastAsia" w:hAnsiTheme="minorHAnsi"/>
          <w:noProof/>
          <w:sz w:val="24"/>
          <w:lang w:eastAsia="fr-FR"/>
        </w:rPr>
      </w:pPr>
      <w:hyperlink w:anchor="_Toc103285674" w:history="1">
        <w:r w:rsidR="00096500" w:rsidRPr="00D268D6">
          <w:rPr>
            <w:rStyle w:val="Lienhypertexte"/>
            <w:noProof/>
          </w:rPr>
          <w:t>Annexe 3 - Les formations</w:t>
        </w:r>
        <w:r w:rsidR="00096500">
          <w:rPr>
            <w:noProof/>
            <w:webHidden/>
          </w:rPr>
          <w:tab/>
        </w:r>
        <w:r w:rsidR="00096500">
          <w:rPr>
            <w:noProof/>
            <w:webHidden/>
          </w:rPr>
          <w:fldChar w:fldCharType="begin"/>
        </w:r>
        <w:r w:rsidR="00096500">
          <w:rPr>
            <w:noProof/>
            <w:webHidden/>
          </w:rPr>
          <w:instrText xml:space="preserve"> PAGEREF _Toc103285674 \h </w:instrText>
        </w:r>
        <w:r w:rsidR="00096500">
          <w:rPr>
            <w:noProof/>
            <w:webHidden/>
          </w:rPr>
        </w:r>
        <w:r w:rsidR="00096500">
          <w:rPr>
            <w:noProof/>
            <w:webHidden/>
          </w:rPr>
          <w:fldChar w:fldCharType="separate"/>
        </w:r>
        <w:r w:rsidR="00332578">
          <w:rPr>
            <w:noProof/>
            <w:webHidden/>
          </w:rPr>
          <w:t>13</w:t>
        </w:r>
        <w:r w:rsidR="00096500">
          <w:rPr>
            <w:noProof/>
            <w:webHidden/>
          </w:rPr>
          <w:fldChar w:fldCharType="end"/>
        </w:r>
      </w:hyperlink>
    </w:p>
    <w:p w14:paraId="294BD159" w14:textId="5631E910" w:rsidR="00096500" w:rsidRDefault="00000000">
      <w:pPr>
        <w:pStyle w:val="TM2"/>
        <w:tabs>
          <w:tab w:val="right" w:leader="dot" w:pos="9056"/>
        </w:tabs>
        <w:rPr>
          <w:rFonts w:asciiTheme="minorHAnsi" w:eastAsiaTheme="minorEastAsia" w:hAnsiTheme="minorHAnsi"/>
          <w:noProof/>
          <w:sz w:val="24"/>
          <w:lang w:eastAsia="fr-FR"/>
        </w:rPr>
      </w:pPr>
      <w:hyperlink w:anchor="_Toc103285675" w:history="1">
        <w:r w:rsidR="00096500" w:rsidRPr="00D268D6">
          <w:rPr>
            <w:rStyle w:val="Lienhypertexte"/>
            <w:noProof/>
          </w:rPr>
          <w:t>Annexe 4 - Schéma Directeur du handicap</w:t>
        </w:r>
        <w:r w:rsidR="00096500">
          <w:rPr>
            <w:noProof/>
            <w:webHidden/>
          </w:rPr>
          <w:tab/>
        </w:r>
        <w:r w:rsidR="00096500">
          <w:rPr>
            <w:noProof/>
            <w:webHidden/>
          </w:rPr>
          <w:fldChar w:fldCharType="begin"/>
        </w:r>
        <w:r w:rsidR="00096500">
          <w:rPr>
            <w:noProof/>
            <w:webHidden/>
          </w:rPr>
          <w:instrText xml:space="preserve"> PAGEREF _Toc103285675 \h </w:instrText>
        </w:r>
        <w:r w:rsidR="00096500">
          <w:rPr>
            <w:noProof/>
            <w:webHidden/>
          </w:rPr>
        </w:r>
        <w:r w:rsidR="00096500">
          <w:rPr>
            <w:noProof/>
            <w:webHidden/>
          </w:rPr>
          <w:fldChar w:fldCharType="separate"/>
        </w:r>
        <w:r w:rsidR="00332578">
          <w:rPr>
            <w:noProof/>
            <w:webHidden/>
          </w:rPr>
          <w:t>14</w:t>
        </w:r>
        <w:r w:rsidR="00096500">
          <w:rPr>
            <w:noProof/>
            <w:webHidden/>
          </w:rPr>
          <w:fldChar w:fldCharType="end"/>
        </w:r>
      </w:hyperlink>
    </w:p>
    <w:p w14:paraId="5CAB0D6F" w14:textId="11865D9A" w:rsidR="00096500" w:rsidRDefault="00000000">
      <w:pPr>
        <w:pStyle w:val="TM2"/>
        <w:tabs>
          <w:tab w:val="right" w:leader="dot" w:pos="9056"/>
        </w:tabs>
        <w:rPr>
          <w:rFonts w:asciiTheme="minorHAnsi" w:eastAsiaTheme="minorEastAsia" w:hAnsiTheme="minorHAnsi"/>
          <w:noProof/>
          <w:sz w:val="24"/>
          <w:lang w:eastAsia="fr-FR"/>
        </w:rPr>
      </w:pPr>
      <w:hyperlink w:anchor="_Toc103285676" w:history="1">
        <w:r w:rsidR="00096500" w:rsidRPr="00D268D6">
          <w:rPr>
            <w:rStyle w:val="Lienhypertexte"/>
            <w:noProof/>
          </w:rPr>
          <w:t>Annexe 5 - Détail budgétaire</w:t>
        </w:r>
        <w:r w:rsidR="00096500">
          <w:rPr>
            <w:noProof/>
            <w:webHidden/>
          </w:rPr>
          <w:tab/>
        </w:r>
        <w:r w:rsidR="00096500">
          <w:rPr>
            <w:noProof/>
            <w:webHidden/>
          </w:rPr>
          <w:fldChar w:fldCharType="begin"/>
        </w:r>
        <w:r w:rsidR="00096500">
          <w:rPr>
            <w:noProof/>
            <w:webHidden/>
          </w:rPr>
          <w:instrText xml:space="preserve"> PAGEREF _Toc103285676 \h </w:instrText>
        </w:r>
        <w:r w:rsidR="00096500">
          <w:rPr>
            <w:noProof/>
            <w:webHidden/>
          </w:rPr>
        </w:r>
        <w:r w:rsidR="00096500">
          <w:rPr>
            <w:noProof/>
            <w:webHidden/>
          </w:rPr>
          <w:fldChar w:fldCharType="separate"/>
        </w:r>
        <w:r w:rsidR="00332578">
          <w:rPr>
            <w:noProof/>
            <w:webHidden/>
          </w:rPr>
          <w:t>15</w:t>
        </w:r>
        <w:r w:rsidR="00096500">
          <w:rPr>
            <w:noProof/>
            <w:webHidden/>
          </w:rPr>
          <w:fldChar w:fldCharType="end"/>
        </w:r>
      </w:hyperlink>
    </w:p>
    <w:p w14:paraId="620186A8" w14:textId="292F4DD1" w:rsidR="00013BED" w:rsidRDefault="00776EBA">
      <w:pPr>
        <w:spacing w:before="0" w:after="0"/>
      </w:pPr>
      <w:r>
        <w:fldChar w:fldCharType="end"/>
      </w:r>
      <w:r w:rsidR="00013BED">
        <w:br w:type="page"/>
      </w:r>
    </w:p>
    <w:p w14:paraId="5B54CE17" w14:textId="685EDB88" w:rsidR="00763F11" w:rsidRDefault="00013BED" w:rsidP="00013BED">
      <w:pPr>
        <w:pStyle w:val="Titre1"/>
      </w:pPr>
      <w:bookmarkStart w:id="0" w:name="_Toc103285647"/>
      <w:r w:rsidRPr="00013BED">
        <w:lastRenderedPageBreak/>
        <w:t>Objectif du document</w:t>
      </w:r>
      <w:bookmarkEnd w:id="0"/>
    </w:p>
    <w:p w14:paraId="1A18E718" w14:textId="180F925A" w:rsidR="00013BED" w:rsidRDefault="00013BED" w:rsidP="00013BED">
      <w:r w:rsidRPr="00013BED">
        <w:t>L’article 47 de la loi n° 2005-102 du 11 février 2005 pour l’égalité des droits et des chances, la participation et la citoyenneté des personnes handicapées rend obligatoire à tout service de communication publique en ligne d’être accessible à tous. À ce titre, chaque service numérique doit publier une page qui annonce son niveau d’accessibilité ainsi que le schéma pluriannuel d’accessibilité décliné en plan d’actions annuel. Ce document rappelle le contexte dans lequel démarre ce nouveau Schéma Pluriannuel d’Accessibilité Numérique et décrit les ambitions générales, la mise en œuvre et les ressources qui seront allouées de septembre 2022 à septembre 2025.</w:t>
      </w:r>
    </w:p>
    <w:p w14:paraId="286E4B42" w14:textId="29676272" w:rsidR="00013BED" w:rsidRDefault="00013BED" w:rsidP="00013BED">
      <w:pPr>
        <w:pStyle w:val="Titre1"/>
      </w:pPr>
      <w:bookmarkStart w:id="1" w:name="_Toc103285648"/>
      <w:r w:rsidRPr="00013BED">
        <w:t>Contexte et historique 2018-2019</w:t>
      </w:r>
      <w:bookmarkEnd w:id="1"/>
    </w:p>
    <w:p w14:paraId="7E38807C" w14:textId="277C460D" w:rsidR="00013BED" w:rsidRDefault="00013BED" w:rsidP="00013BED">
      <w:pPr>
        <w:pStyle w:val="Titre2"/>
      </w:pPr>
      <w:bookmarkStart w:id="2" w:name="_Toc103285649"/>
      <w:r w:rsidRPr="00013BED">
        <w:t>Une politique volontariste</w:t>
      </w:r>
      <w:bookmarkEnd w:id="2"/>
    </w:p>
    <w:p w14:paraId="4DE5E992" w14:textId="77777777" w:rsidR="00013BED" w:rsidRDefault="00013BED" w:rsidP="00013BED">
      <w:r>
        <w:t>Depuis fin 2018, l’accessibilité numérique est portée à l’Université de La Réunion par une politique de plus en plus volontariste.</w:t>
      </w:r>
    </w:p>
    <w:p w14:paraId="083E5DEF" w14:textId="77D1803F" w:rsidR="00013BED" w:rsidRDefault="00013BED" w:rsidP="00013BED">
      <w:r>
        <w:t xml:space="preserve">Cela a commencé fin 2018 par une allocation de moyens budgétaires, via SOURCE - le Schéma Opérationnel de l’Université de La Réunion adossé au Contrat d’Établissement - (18 000€) avec un complément sur fonds propres (7 000€) pour un total de 25 000 euros destinés à l’audit du site </w:t>
      </w:r>
      <w:hyperlink r:id="rId8" w:history="1">
        <w:r w:rsidRPr="00857E52">
          <w:rPr>
            <w:rStyle w:val="Lienhypertexte"/>
          </w:rPr>
          <w:t>https://www.univ-reunion.fr</w:t>
        </w:r>
      </w:hyperlink>
      <w:r>
        <w:t xml:space="preserve"> et des correctifs nécessaires.</w:t>
      </w:r>
    </w:p>
    <w:p w14:paraId="5BA64FC5" w14:textId="77777777" w:rsidR="00013BED" w:rsidRDefault="00013BED" w:rsidP="00013BED">
      <w:r>
        <w:t>Un renforcement en moyens humains a suivi avec l’embauche dès septembre 2019 d’un référent en accessibilité numérique, en la personne de Monsieur Pierre Reynaud, qui apporte à l’établissement son expertise d’une vingtaine d’années en ce domaine ainsi que son expérience d’utilisateur en situation de handicap. L’équipe continue de s’étoffer en septembre 2020 par l’arrivée d’un ½ ETP au profil de technicien dédié au support et à l’audit.</w:t>
      </w:r>
    </w:p>
    <w:p w14:paraId="164F3061" w14:textId="77777777" w:rsidR="00013BED" w:rsidRDefault="00013BED" w:rsidP="00013BED">
      <w:r>
        <w:t>En créant en février 2020 la Direction de l’Audiovisuel, du Multimédia et de l’Accessibilité Numérique (DAMAN) avec le Service Web et Accessibilité Numérique (SWAN), la gouvernance lance un signal fort à la communauté universitaire sur ses ambitions en la matière.</w:t>
      </w:r>
    </w:p>
    <w:p w14:paraId="6598176B" w14:textId="2E7318BD" w:rsidR="00013BED" w:rsidRDefault="00013BED" w:rsidP="00013BED">
      <w:r>
        <w:t>Dès l’arrivée du troisième membre du Service Web et Accessibilité Numérique, une montée en compétences est opérée, via une formation en audit, puis une certification à la qualité web (OPQUAST). L’Université de La Réunion se dote ainsi d’une équipe en capacité d’évaluer la qualité de ses outils numériques.</w:t>
      </w:r>
    </w:p>
    <w:p w14:paraId="1088E9D3" w14:textId="747DDFD5" w:rsidR="00013BED" w:rsidRDefault="00013BED" w:rsidP="00013BED">
      <w:pPr>
        <w:pStyle w:val="Titre2"/>
      </w:pPr>
      <w:bookmarkStart w:id="3" w:name="_Toc103285650"/>
      <w:r w:rsidRPr="00013BED">
        <w:t>Les premières actions</w:t>
      </w:r>
      <w:bookmarkEnd w:id="3"/>
    </w:p>
    <w:p w14:paraId="1C00F2EE" w14:textId="15416F29" w:rsidR="00013BED" w:rsidRDefault="00013BED" w:rsidP="00013BED">
      <w:pPr>
        <w:pStyle w:val="Titre3"/>
      </w:pPr>
      <w:bookmarkStart w:id="4" w:name="_Toc103285651"/>
      <w:r w:rsidRPr="00013BED">
        <w:t>Site institutionnel</w:t>
      </w:r>
      <w:bookmarkEnd w:id="4"/>
    </w:p>
    <w:p w14:paraId="1A1BC450" w14:textId="1956A952" w:rsidR="00B53EBD" w:rsidRDefault="00B53EBD" w:rsidP="00B53EBD">
      <w:r>
        <w:t xml:space="preserve">Grâce au SOURCE et au complément budgétaire sur fonds propres, une opération de mise en conformité du site http://www.univ-reunion.fr est commencée à la mi-2019. </w:t>
      </w:r>
    </w:p>
    <w:p w14:paraId="3646F8D8" w14:textId="77777777" w:rsidR="00B53EBD" w:rsidRDefault="00B53EBD" w:rsidP="00B53EBD">
      <w:r>
        <w:t xml:space="preserve">Un premier audit effectué par la société </w:t>
      </w:r>
      <w:proofErr w:type="spellStart"/>
      <w:r>
        <w:t>Koena</w:t>
      </w:r>
      <w:proofErr w:type="spellEnd"/>
      <w:r>
        <w:t xml:space="preserve"> permet de constater la non-conformité du site et de prioriser les correctifs envisagés, en commençant par les points les plus bloquants. </w:t>
      </w:r>
    </w:p>
    <w:p w14:paraId="5BC550C2" w14:textId="77777777" w:rsidR="00B53EBD" w:rsidRDefault="00B53EBD" w:rsidP="00B53EBD">
      <w:r>
        <w:t>Pendant toute l’année 2020, les correctifs seront produits par deux sociétés de service différentes et un audit de contrôle sera réalisé en octobre de la même année.</w:t>
      </w:r>
    </w:p>
    <w:p w14:paraId="3BB7F798" w14:textId="77777777" w:rsidR="00B53EBD" w:rsidRDefault="00B53EBD" w:rsidP="00B53EBD">
      <w:r>
        <w:t xml:space="preserve">Cet audit est co-réalisé par la société </w:t>
      </w:r>
      <w:proofErr w:type="spellStart"/>
      <w:r>
        <w:t>Koena</w:t>
      </w:r>
      <w:proofErr w:type="spellEnd"/>
      <w:r>
        <w:t xml:space="preserve"> et les 3 personnels de l’Université nouvellement formés, avec une supervision de la société </w:t>
      </w:r>
      <w:proofErr w:type="spellStart"/>
      <w:r>
        <w:t>Koena</w:t>
      </w:r>
      <w:proofErr w:type="spellEnd"/>
      <w:r>
        <w:t>.</w:t>
      </w:r>
    </w:p>
    <w:p w14:paraId="1BA2693F" w14:textId="77777777" w:rsidR="00B53EBD" w:rsidRDefault="00B53EBD" w:rsidP="00B53EBD">
      <w:r>
        <w:lastRenderedPageBreak/>
        <w:t xml:space="preserve">Si l’ensemble reste non conforme, la société </w:t>
      </w:r>
      <w:proofErr w:type="spellStart"/>
      <w:r>
        <w:t>Koena</w:t>
      </w:r>
      <w:proofErr w:type="spellEnd"/>
      <w:r>
        <w:t xml:space="preserve"> ajoute en préambule de la déclaration d’accessibilité la mention suivante : </w:t>
      </w:r>
    </w:p>
    <w:p w14:paraId="40AC665C" w14:textId="77777777" w:rsidR="00B53EBD" w:rsidRDefault="00B53EBD" w:rsidP="00B53EBD">
      <w:r>
        <w:t>“Les résultats de l’audit reflètent mal dans tous les cas l’amélioration notable de l’accessibilité du site web, qui n’était guère utilisable en avril 2019, et dont l’accès est désormais rendu possible pour de nombreux utilisateurs. Nous notons notamment les améliorations suivantes :</w:t>
      </w:r>
    </w:p>
    <w:p w14:paraId="30DFB469" w14:textId="77ECE370" w:rsidR="00B53EBD" w:rsidRDefault="00B53EBD" w:rsidP="00B53EBD">
      <w:pPr>
        <w:pStyle w:val="Paragraphedeliste"/>
        <w:numPr>
          <w:ilvl w:val="0"/>
          <w:numId w:val="11"/>
        </w:numPr>
      </w:pPr>
      <w:r>
        <w:t>Amélioration de la navigation au clavier et de la visibilité du focus pour les personnes naviguant au clavier ou utilisant des technologies d’assistance,</w:t>
      </w:r>
    </w:p>
    <w:p w14:paraId="1118E395" w14:textId="499F2713" w:rsidR="00B53EBD" w:rsidRDefault="00B53EBD" w:rsidP="00B53EBD">
      <w:pPr>
        <w:pStyle w:val="Paragraphedeliste"/>
        <w:numPr>
          <w:ilvl w:val="0"/>
          <w:numId w:val="11"/>
        </w:numPr>
      </w:pPr>
      <w:r>
        <w:t>Mise en place de liens d’évitement,</w:t>
      </w:r>
    </w:p>
    <w:p w14:paraId="02DF90E4" w14:textId="2D56D92F" w:rsidR="00B53EBD" w:rsidRDefault="00B53EBD" w:rsidP="00B53EBD">
      <w:pPr>
        <w:pStyle w:val="Paragraphedeliste"/>
        <w:numPr>
          <w:ilvl w:val="0"/>
          <w:numId w:val="11"/>
        </w:numPr>
      </w:pPr>
      <w:r>
        <w:t>Amélioration du carrousel d’actualité désormais utilisable au clavier et au lecteur d’écran notamment (contrôle, contraste et identification des boutons),</w:t>
      </w:r>
    </w:p>
    <w:p w14:paraId="55C6326D" w14:textId="037919C1" w:rsidR="00B53EBD" w:rsidRDefault="00B53EBD" w:rsidP="00B53EBD">
      <w:pPr>
        <w:pStyle w:val="Paragraphedeliste"/>
        <w:numPr>
          <w:ilvl w:val="0"/>
          <w:numId w:val="11"/>
        </w:numPr>
      </w:pPr>
      <w:r>
        <w:t>Amélioration du lecteur vidéo (contrôle clavier),</w:t>
      </w:r>
    </w:p>
    <w:p w14:paraId="2F8950E6" w14:textId="6DBC69AA" w:rsidR="00B53EBD" w:rsidRDefault="00B53EBD" w:rsidP="00B53EBD">
      <w:pPr>
        <w:pStyle w:val="Paragraphedeliste"/>
        <w:numPr>
          <w:ilvl w:val="0"/>
          <w:numId w:val="11"/>
        </w:numPr>
      </w:pPr>
      <w:r>
        <w:t>Amélioration des contrastes, notamment des éléments d’en tête et de pieds de page ainsi que des liens,</w:t>
      </w:r>
    </w:p>
    <w:p w14:paraId="41F1551B" w14:textId="2F07A468" w:rsidR="00B53EBD" w:rsidRDefault="00B53EBD" w:rsidP="00B53EBD">
      <w:pPr>
        <w:pStyle w:val="Paragraphedeliste"/>
        <w:numPr>
          <w:ilvl w:val="0"/>
          <w:numId w:val="11"/>
        </w:numPr>
      </w:pPr>
      <w:r>
        <w:t>Amélioration de la présentation de la page de résultats du moteur de recherche (nouvelle présentation des filtres),</w:t>
      </w:r>
    </w:p>
    <w:p w14:paraId="625AC692" w14:textId="46EE5C9D" w:rsidR="00B53EBD" w:rsidRDefault="00B53EBD" w:rsidP="00B53EBD">
      <w:pPr>
        <w:pStyle w:val="Paragraphedeliste"/>
        <w:numPr>
          <w:ilvl w:val="0"/>
          <w:numId w:val="11"/>
        </w:numPr>
      </w:pPr>
      <w:r>
        <w:t xml:space="preserve">Modification dans le logiciel TYPO3 gérant les contenus du site pour permettre l’identification des </w:t>
      </w:r>
      <w:proofErr w:type="spellStart"/>
      <w:r>
        <w:t>iframes</w:t>
      </w:r>
      <w:proofErr w:type="spellEnd"/>
      <w:r>
        <w:t>.”</w:t>
      </w:r>
    </w:p>
    <w:p w14:paraId="0A523DE2" w14:textId="533AFE39" w:rsidR="00B53EBD" w:rsidRDefault="00B53EBD" w:rsidP="00B53EBD">
      <w:r>
        <w:t>Ainsi, le niveau de conformité reste très insatisfaisant, mais le niveau d'accessibilité, lui, a pu faire un bond en avant.</w:t>
      </w:r>
    </w:p>
    <w:p w14:paraId="1937C5BF" w14:textId="08D9C532" w:rsidR="00B53EBD" w:rsidRDefault="00B53EBD" w:rsidP="00B53EBD">
      <w:pPr>
        <w:pStyle w:val="Titre3"/>
      </w:pPr>
      <w:bookmarkStart w:id="5" w:name="_Toc103285652"/>
      <w:r w:rsidRPr="00B53EBD">
        <w:t>Information et sensibilisation</w:t>
      </w:r>
      <w:bookmarkEnd w:id="5"/>
    </w:p>
    <w:p w14:paraId="256ED693" w14:textId="37E9E9AE" w:rsidR="00B53EBD" w:rsidRDefault="00B53EBD" w:rsidP="00B53EBD">
      <w:pPr>
        <w:pStyle w:val="Titre4"/>
      </w:pPr>
      <w:r w:rsidRPr="00B53EBD">
        <w:t>Conférences et webinaires</w:t>
      </w:r>
    </w:p>
    <w:p w14:paraId="61F11E17" w14:textId="404D2AC3" w:rsidR="00B53EBD" w:rsidRDefault="00B53EBD" w:rsidP="00B53EBD">
      <w:r>
        <w:t xml:space="preserve">Dès son arrivée, le référent en accessibilité numérique organise des opérations de sensibilisation à l’accessibilité numérique, avec par exemple en novembre 2019 </w:t>
      </w:r>
      <w:hyperlink r:id="rId9" w:history="1">
        <w:r w:rsidRPr="00B53EBD">
          <w:rPr>
            <w:rStyle w:val="Lienhypertexte"/>
          </w:rPr>
          <w:t>la conférence sur l’accessibilité numérique et les innovations technologiques pour les personnes en situation de handicap</w:t>
        </w:r>
      </w:hyperlink>
      <w:r>
        <w:t>, traduite en langue des signes française (LSF).</w:t>
      </w:r>
    </w:p>
    <w:p w14:paraId="7A1C3C4E" w14:textId="77777777" w:rsidR="00B53EBD" w:rsidRDefault="00B53EBD" w:rsidP="00B53EBD">
      <w:r>
        <w:t>La pandémie de 2020 est l’occasion de s’intéresser au format webinaire :</w:t>
      </w:r>
    </w:p>
    <w:p w14:paraId="28428861" w14:textId="2E22D0F7" w:rsidR="00B53EBD" w:rsidRDefault="00000000" w:rsidP="00B53EBD">
      <w:pPr>
        <w:pStyle w:val="Paragraphedeliste"/>
        <w:numPr>
          <w:ilvl w:val="0"/>
          <w:numId w:val="12"/>
        </w:numPr>
      </w:pPr>
      <w:hyperlink r:id="rId10" w:history="1">
        <w:r w:rsidR="00B53EBD" w:rsidRPr="00B53EBD">
          <w:rPr>
            <w:rStyle w:val="Lienhypertexte"/>
          </w:rPr>
          <w:t>Impact de l'accessibilité numérique en milieu professionnel</w:t>
        </w:r>
      </w:hyperlink>
      <w:r w:rsidR="00B53EBD">
        <w:t xml:space="preserve"> (</w:t>
      </w:r>
      <w:hyperlink r:id="rId11" w:history="1">
        <w:r w:rsidR="00B53EBD" w:rsidRPr="00B53EBD">
          <w:rPr>
            <w:rStyle w:val="Lienhypertexte"/>
          </w:rPr>
          <w:t>version LSF</w:t>
        </w:r>
      </w:hyperlink>
      <w:r w:rsidR="00B53EBD">
        <w:t>)</w:t>
      </w:r>
    </w:p>
    <w:p w14:paraId="1B76B773" w14:textId="6EA1735B" w:rsidR="00B53EBD" w:rsidRDefault="00000000" w:rsidP="00B53EBD">
      <w:pPr>
        <w:pStyle w:val="Paragraphedeliste"/>
        <w:numPr>
          <w:ilvl w:val="0"/>
          <w:numId w:val="12"/>
        </w:numPr>
      </w:pPr>
      <w:hyperlink r:id="rId12" w:history="1">
        <w:r w:rsidR="00B53EBD" w:rsidRPr="006C5881">
          <w:rPr>
            <w:rStyle w:val="Lienhypertexte"/>
          </w:rPr>
          <w:t>La continuité pédagogique inclusive</w:t>
        </w:r>
      </w:hyperlink>
      <w:r w:rsidR="00B53EBD">
        <w:t xml:space="preserve"> </w:t>
      </w:r>
      <w:hyperlink r:id="rId13" w:history="1">
        <w:r w:rsidR="00B53EBD" w:rsidRPr="006C5881">
          <w:rPr>
            <w:rStyle w:val="Lienhypertexte"/>
          </w:rPr>
          <w:t>(version LSF</w:t>
        </w:r>
      </w:hyperlink>
      <w:r w:rsidR="00B53EBD">
        <w:t>)</w:t>
      </w:r>
    </w:p>
    <w:p w14:paraId="346871D2" w14:textId="42D363E4" w:rsidR="00B53EBD" w:rsidRDefault="00B53EBD" w:rsidP="00B53EBD">
      <w:r>
        <w:t xml:space="preserve">Ces deux événements seront traduits en langue des signes française et sous-titrés </w:t>
      </w:r>
      <w:r w:rsidRPr="006C5881">
        <w:rPr>
          <w:i/>
          <w:iCs/>
        </w:rPr>
        <w:t>a posteriori</w:t>
      </w:r>
      <w:r>
        <w:t>, et une transcription textuelle accompagnera leur mise en ligne sur notre site web, offrant ainsi à ces objets numériques un niveau AAA (ou triple A), le maximum possible en termes d'accessibilité, alors que la loi française n'exige qu’un niveau AA (ou double A).</w:t>
      </w:r>
    </w:p>
    <w:p w14:paraId="25E3643A" w14:textId="77777777" w:rsidR="00B53EBD" w:rsidRPr="006C5881" w:rsidRDefault="00B53EBD" w:rsidP="006C5881">
      <w:pPr>
        <w:pStyle w:val="Titre4"/>
      </w:pPr>
      <w:r>
        <w:t>Formation des personnels</w:t>
      </w:r>
    </w:p>
    <w:p w14:paraId="1F88BDDE" w14:textId="77777777" w:rsidR="00B53EBD" w:rsidRDefault="00B53EBD" w:rsidP="006C5881">
      <w:pPr>
        <w:pStyle w:val="Paragraphedeliste"/>
        <w:numPr>
          <w:ilvl w:val="0"/>
          <w:numId w:val="13"/>
        </w:numPr>
      </w:pPr>
      <w:r>
        <w:t>Formation qualité web, 3 jours, 2 personnes (SWAN)</w:t>
      </w:r>
    </w:p>
    <w:p w14:paraId="5BE8BB59" w14:textId="77777777" w:rsidR="00B53EBD" w:rsidRDefault="00B53EBD" w:rsidP="006C5881">
      <w:pPr>
        <w:pStyle w:val="Paragraphedeliste"/>
        <w:numPr>
          <w:ilvl w:val="0"/>
          <w:numId w:val="13"/>
        </w:numPr>
      </w:pPr>
      <w:r>
        <w:t xml:space="preserve">Formation accessibilité à destination des développeurs, de 5 </w:t>
      </w:r>
      <w:proofErr w:type="gramStart"/>
      <w:r>
        <w:t>jours  (</w:t>
      </w:r>
      <w:proofErr w:type="gramEnd"/>
      <w:r>
        <w:t>7 personnes Direction du Système d’Information - DSI + 1 SWAN)</w:t>
      </w:r>
    </w:p>
    <w:p w14:paraId="23B69BDE" w14:textId="13235906" w:rsidR="00B53EBD" w:rsidRDefault="00B53EBD" w:rsidP="006C5881">
      <w:pPr>
        <w:pStyle w:val="Paragraphedeliste"/>
        <w:numPr>
          <w:ilvl w:val="0"/>
          <w:numId w:val="13"/>
        </w:numPr>
      </w:pPr>
      <w:r>
        <w:t>Formation à la production de contenus accessibles 3 jours, 12 personnes (6 DAMAN, 4 Direction de l'Innovation et de l’Ingénierie Pédagogique - D2IP, 2 Institut Indianocéanique du Numérique - IIN)</w:t>
      </w:r>
    </w:p>
    <w:p w14:paraId="4E1AECDB" w14:textId="55219FA7" w:rsidR="006C5881" w:rsidRDefault="006C5881" w:rsidP="006C5881">
      <w:pPr>
        <w:pStyle w:val="Titre2"/>
      </w:pPr>
      <w:bookmarkStart w:id="6" w:name="_Toc103285653"/>
      <w:r w:rsidRPr="006C5881">
        <w:lastRenderedPageBreak/>
        <w:t>Un premier Schéma pluriannuel d’accessibilité numérique (SPAN)</w:t>
      </w:r>
      <w:bookmarkEnd w:id="6"/>
    </w:p>
    <w:p w14:paraId="6E7B86F4" w14:textId="77777777" w:rsidR="006C5881" w:rsidRDefault="006C5881" w:rsidP="006C5881">
      <w:r>
        <w:t>En décembre 2020, un premier SPAN est écrit par le référent en accessibilité numérique et la responsable du service web et accessibilité numérique, en attendant de pouvoir organiser un véritable projet au niveau établissement.</w:t>
      </w:r>
    </w:p>
    <w:p w14:paraId="13F54344" w14:textId="77777777" w:rsidR="006C5881" w:rsidRDefault="006C5881" w:rsidP="006C5881">
      <w:pPr>
        <w:pStyle w:val="Paragraphedeliste"/>
        <w:numPr>
          <w:ilvl w:val="0"/>
          <w:numId w:val="14"/>
        </w:numPr>
      </w:pPr>
      <w:r>
        <w:t>Les actions entreprises en 2021 et 2022 conformément à ce SPAN sont restreintes aux activités du service web et accessibilité numérique :</w:t>
      </w:r>
    </w:p>
    <w:p w14:paraId="43224EA9" w14:textId="77777777" w:rsidR="006C5881" w:rsidRDefault="006C5881" w:rsidP="006C5881">
      <w:pPr>
        <w:pStyle w:val="Paragraphedeliste"/>
        <w:numPr>
          <w:ilvl w:val="0"/>
          <w:numId w:val="14"/>
        </w:numPr>
      </w:pPr>
      <w:r>
        <w:t xml:space="preserve">Organisation de 10 séances de sensibilisation à l’accessibilité numérique en distanciel regroupant en tout plus de 120 personnels de l’Université. </w:t>
      </w:r>
    </w:p>
    <w:p w14:paraId="163083C3" w14:textId="77777777" w:rsidR="006C5881" w:rsidRDefault="006C5881" w:rsidP="006C5881">
      <w:pPr>
        <w:pStyle w:val="Paragraphedeliste"/>
        <w:numPr>
          <w:ilvl w:val="0"/>
          <w:numId w:val="14"/>
        </w:numPr>
      </w:pPr>
      <w:r>
        <w:t>Création d’une formation à distance et tutorée pour la rédaction de pages web accessibles avec l’outil TYPO3. Ce format permet d’accueillir une vingtaine de personnes par session et se déroule en deux temps :</w:t>
      </w:r>
    </w:p>
    <w:p w14:paraId="5E3B8590" w14:textId="3DC35425" w:rsidR="006C5881" w:rsidRDefault="006C5881" w:rsidP="006C5881">
      <w:pPr>
        <w:pStyle w:val="Paragraphedeliste"/>
        <w:numPr>
          <w:ilvl w:val="1"/>
          <w:numId w:val="14"/>
        </w:numPr>
      </w:pPr>
      <w:r>
        <w:t>Présentation de l’accessibilité numérique et de l’outil de rédaction web, puis application via un exercice tutoré. L’apprenant regarde des vidéos qui le guident pas à pas dans l’exercice et pose ses questions au tuteur.</w:t>
      </w:r>
    </w:p>
    <w:p w14:paraId="2C7FC838" w14:textId="6223CF0C" w:rsidR="006C5881" w:rsidRDefault="006C5881" w:rsidP="006C5881">
      <w:pPr>
        <w:pStyle w:val="Paragraphedeliste"/>
        <w:numPr>
          <w:ilvl w:val="1"/>
          <w:numId w:val="14"/>
        </w:numPr>
      </w:pPr>
      <w:r>
        <w:t xml:space="preserve">Retour sur l’exercice et les premiers moments d’utilisation du logiciel TYPO3 à 7-10 jours de la formation initiale. </w:t>
      </w:r>
    </w:p>
    <w:p w14:paraId="3D30DD31" w14:textId="77777777" w:rsidR="006C5881" w:rsidRDefault="006C5881" w:rsidP="006C5881">
      <w:pPr>
        <w:pStyle w:val="Paragraphedeliste"/>
        <w:numPr>
          <w:ilvl w:val="0"/>
          <w:numId w:val="14"/>
        </w:numPr>
      </w:pPr>
      <w:r>
        <w:t>Organisation de ces sessions (3 entre fin 2021 et 2022).</w:t>
      </w:r>
    </w:p>
    <w:p w14:paraId="16A27A45" w14:textId="2168B8CB" w:rsidR="006C5881" w:rsidRDefault="006C5881" w:rsidP="006C5881">
      <w:pPr>
        <w:pStyle w:val="Paragraphedeliste"/>
        <w:numPr>
          <w:ilvl w:val="0"/>
          <w:numId w:val="14"/>
        </w:numPr>
      </w:pPr>
      <w:r>
        <w:t xml:space="preserve">Sensibilisation à l’accessibilité numérique via des webinaires avec traduction simultanée en langue des signes et </w:t>
      </w:r>
      <w:proofErr w:type="spellStart"/>
      <w:r>
        <w:t>vélotypie</w:t>
      </w:r>
      <w:proofErr w:type="spellEnd"/>
      <w:r>
        <w:t xml:space="preserve"> en direct sur la </w:t>
      </w:r>
      <w:hyperlink r:id="rId14" w:history="1">
        <w:r w:rsidRPr="006C5881">
          <w:rPr>
            <w:rStyle w:val="Lienhypertexte"/>
          </w:rPr>
          <w:t xml:space="preserve">chaîne </w:t>
        </w:r>
        <w:proofErr w:type="spellStart"/>
        <w:r w:rsidRPr="006C5881">
          <w:rPr>
            <w:rStyle w:val="Lienhypertexte"/>
          </w:rPr>
          <w:t>Youtube</w:t>
        </w:r>
        <w:proofErr w:type="spellEnd"/>
      </w:hyperlink>
      <w:r>
        <w:t xml:space="preserve"> de l’Université :</w:t>
      </w:r>
    </w:p>
    <w:p w14:paraId="723957E5" w14:textId="3C1036BC" w:rsidR="006C5881" w:rsidRDefault="00000000" w:rsidP="006C5881">
      <w:pPr>
        <w:pStyle w:val="Paragraphedeliste"/>
        <w:numPr>
          <w:ilvl w:val="1"/>
          <w:numId w:val="14"/>
        </w:numPr>
      </w:pPr>
      <w:hyperlink r:id="rId15" w:history="1">
        <w:r w:rsidR="006C5881" w:rsidRPr="008D6AAB">
          <w:rPr>
            <w:rStyle w:val="Lienhypertexte"/>
          </w:rPr>
          <w:t>L'accessibilité numérique, un atout pour l'inclusion professionnelle !</w:t>
        </w:r>
      </w:hyperlink>
    </w:p>
    <w:p w14:paraId="1CEDDA30" w14:textId="38B8A1E6" w:rsidR="006C5881" w:rsidRDefault="00000000" w:rsidP="006C5881">
      <w:pPr>
        <w:pStyle w:val="Paragraphedeliste"/>
        <w:numPr>
          <w:ilvl w:val="1"/>
          <w:numId w:val="14"/>
        </w:numPr>
      </w:pPr>
      <w:hyperlink r:id="rId16" w:history="1">
        <w:r w:rsidR="006C5881" w:rsidRPr="008D6AAB">
          <w:rPr>
            <w:rStyle w:val="Lienhypertexte"/>
          </w:rPr>
          <w:t>Le numérique, tous responsables pour une inclusion professionnelle</w:t>
        </w:r>
        <w:r w:rsidR="008D6AAB" w:rsidRPr="008D6AAB">
          <w:rPr>
            <w:rStyle w:val="Lienhypertexte"/>
          </w:rPr>
          <w:t xml:space="preserve"> </w:t>
        </w:r>
        <w:r w:rsidR="006C5881" w:rsidRPr="008D6AAB">
          <w:rPr>
            <w:rStyle w:val="Lienhypertexte"/>
          </w:rPr>
          <w:t>réussie</w:t>
        </w:r>
      </w:hyperlink>
    </w:p>
    <w:p w14:paraId="6BD82FC9" w14:textId="2BC2B1FE" w:rsidR="006C5881" w:rsidRDefault="00000000" w:rsidP="006C5881">
      <w:pPr>
        <w:pStyle w:val="Paragraphedeliste"/>
        <w:numPr>
          <w:ilvl w:val="1"/>
          <w:numId w:val="14"/>
        </w:numPr>
      </w:pPr>
      <w:hyperlink r:id="rId17" w:history="1">
        <w:r w:rsidR="006C5881" w:rsidRPr="008D6AAB">
          <w:rPr>
            <w:rStyle w:val="Lienhypertexte"/>
          </w:rPr>
          <w:t>Webinaire : "Le FALC, un outil magique ?"</w:t>
        </w:r>
      </w:hyperlink>
    </w:p>
    <w:p w14:paraId="05F6B33F" w14:textId="67332F3E" w:rsidR="006C5881" w:rsidRDefault="006C5881" w:rsidP="006C5881">
      <w:pPr>
        <w:pStyle w:val="Paragraphedeliste"/>
        <w:numPr>
          <w:ilvl w:val="0"/>
          <w:numId w:val="14"/>
        </w:numPr>
      </w:pPr>
      <w:r>
        <w:t xml:space="preserve">Montée en compétences du référent en accessibilité numérique pour le pilotage stratégique de l’accessibilité numérique via une formation de perfectionnement </w:t>
      </w:r>
      <w:proofErr w:type="spellStart"/>
      <w:r>
        <w:t>ad’hoc</w:t>
      </w:r>
      <w:proofErr w:type="spellEnd"/>
      <w:r>
        <w:t>.</w:t>
      </w:r>
    </w:p>
    <w:p w14:paraId="31A852CA" w14:textId="49173B17" w:rsidR="008D6AAB" w:rsidRDefault="008D6AAB" w:rsidP="008D6AAB">
      <w:pPr>
        <w:pStyle w:val="Titre1"/>
      </w:pPr>
      <w:bookmarkStart w:id="7" w:name="_Toc103285654"/>
      <w:r w:rsidRPr="008D6AAB">
        <w:t>SPAN 2022 - 2025 : Feuille de route</w:t>
      </w:r>
      <w:bookmarkEnd w:id="7"/>
    </w:p>
    <w:p w14:paraId="02841E69" w14:textId="13AC1CBD" w:rsidR="008D6AAB" w:rsidRDefault="008D6AAB" w:rsidP="008D6AAB">
      <w:pPr>
        <w:pStyle w:val="Titre2"/>
      </w:pPr>
      <w:bookmarkStart w:id="8" w:name="_Toc103285655"/>
      <w:r w:rsidRPr="008D6AAB">
        <w:t>Méthodologie</w:t>
      </w:r>
      <w:bookmarkEnd w:id="8"/>
    </w:p>
    <w:p w14:paraId="4C744ED5" w14:textId="77777777" w:rsidR="008D6AAB" w:rsidRDefault="008D6AAB" w:rsidP="008D6AAB">
      <w:r>
        <w:t>En février 2022, l’action stratégique de création d’un Schéma Pluriannuel d’Accessibilité Numérique ou SPAN est lancée par le vice-président délégué aux usages et développement du numérique, en co-pilotage avec le référent en accessibilité numérique.</w:t>
      </w:r>
    </w:p>
    <w:p w14:paraId="25011AEC" w14:textId="77777777" w:rsidR="008D6AAB" w:rsidRDefault="008D6AAB" w:rsidP="008D6AAB">
      <w:r>
        <w:t>Cette opération s’étend sur trois mois et demi, intégrant la rédaction de ce document. Le SPAN de l’Université de La Réunion s’est bâti sur :</w:t>
      </w:r>
    </w:p>
    <w:p w14:paraId="36728589" w14:textId="77777777" w:rsidR="008D6AAB" w:rsidRDefault="008D6AAB" w:rsidP="008D6AAB">
      <w:pPr>
        <w:pStyle w:val="Paragraphedeliste"/>
        <w:numPr>
          <w:ilvl w:val="0"/>
          <w:numId w:val="15"/>
        </w:numPr>
      </w:pPr>
      <w:r>
        <w:t>16 entretiens d’en moyenne une heure chacun pour établir un état des lieux le plus exhaustif possible ;</w:t>
      </w:r>
    </w:p>
    <w:p w14:paraId="62799C47" w14:textId="77777777" w:rsidR="008D6AAB" w:rsidRDefault="008D6AAB" w:rsidP="008D6AAB">
      <w:pPr>
        <w:pStyle w:val="Paragraphedeliste"/>
        <w:numPr>
          <w:ilvl w:val="0"/>
          <w:numId w:val="15"/>
        </w:numPr>
      </w:pPr>
      <w:proofErr w:type="gramStart"/>
      <w:r>
        <w:t>un</w:t>
      </w:r>
      <w:proofErr w:type="gramEnd"/>
      <w:r>
        <w:t xml:space="preserve"> accompagnement par une société experte pour l’organisation, l’animation des Comités de Pilotage (Copil) et la rédaction des documents de synthèse ;</w:t>
      </w:r>
    </w:p>
    <w:p w14:paraId="6E6D42E1" w14:textId="371E1BF2" w:rsidR="008D6AAB" w:rsidRDefault="008D6AAB" w:rsidP="008D6AAB">
      <w:pPr>
        <w:pStyle w:val="Paragraphedeliste"/>
        <w:numPr>
          <w:ilvl w:val="0"/>
          <w:numId w:val="15"/>
        </w:numPr>
      </w:pPr>
      <w:r>
        <w:t>4 Copil impliquant 15 personnes en moyenne issues de directions et services transversaux (numérique, ressources humaines, finances et comptabilité, juridique, informatique, pédagogie numérique, bibliothèques universitaires, communication, représentants étudiants…). La gouvernance a bien sûr également contribué aux séances à travers la participation des vice-présidences qui œuvrent en particulier dans les domaines dans lesquels le SPAN est amené à jouer un rôle. Les travaux des Copil se sont étalés sur une période de deux mois et demi ;</w:t>
      </w:r>
    </w:p>
    <w:p w14:paraId="70ABB1F0" w14:textId="77777777" w:rsidR="008D6AAB" w:rsidRDefault="008D6AAB" w:rsidP="008D6AAB">
      <w:pPr>
        <w:pStyle w:val="Paragraphedeliste"/>
        <w:numPr>
          <w:ilvl w:val="0"/>
          <w:numId w:val="15"/>
        </w:numPr>
      </w:pPr>
      <w:proofErr w:type="gramStart"/>
      <w:r>
        <w:t>la</w:t>
      </w:r>
      <w:proofErr w:type="gramEnd"/>
      <w:r>
        <w:t xml:space="preserve"> construction d’un budget prévisionnel ;</w:t>
      </w:r>
    </w:p>
    <w:p w14:paraId="05D63C4D" w14:textId="77777777" w:rsidR="008D6AAB" w:rsidRDefault="008D6AAB" w:rsidP="008D6AAB">
      <w:pPr>
        <w:pStyle w:val="Paragraphedeliste"/>
        <w:numPr>
          <w:ilvl w:val="0"/>
          <w:numId w:val="15"/>
        </w:numPr>
      </w:pPr>
      <w:proofErr w:type="gramStart"/>
      <w:r>
        <w:lastRenderedPageBreak/>
        <w:t>un</w:t>
      </w:r>
      <w:proofErr w:type="gramEnd"/>
      <w:r>
        <w:t xml:space="preserve"> document détaillé, </w:t>
      </w:r>
      <w:proofErr w:type="spellStart"/>
      <w:r>
        <w:t>co-construit</w:t>
      </w:r>
      <w:proofErr w:type="spellEnd"/>
      <w:r>
        <w:t xml:space="preserve"> à partir des données et réflexions des différentes directions et services présents ;</w:t>
      </w:r>
    </w:p>
    <w:p w14:paraId="4CD74684" w14:textId="1922E7CF" w:rsidR="008D6AAB" w:rsidRDefault="008D6AAB" w:rsidP="008D6AAB">
      <w:pPr>
        <w:pStyle w:val="Paragraphedeliste"/>
        <w:numPr>
          <w:ilvl w:val="0"/>
          <w:numId w:val="15"/>
        </w:numPr>
      </w:pPr>
      <w:proofErr w:type="gramStart"/>
      <w:r>
        <w:t>un</w:t>
      </w:r>
      <w:proofErr w:type="gramEnd"/>
      <w:r>
        <w:t xml:space="preserve"> appui fort de la gouvernance dans l’organisation du dispositif.</w:t>
      </w:r>
    </w:p>
    <w:p w14:paraId="6B23C251" w14:textId="54DAE6EA" w:rsidR="008D6AAB" w:rsidRDefault="008D6AAB" w:rsidP="008D6AAB">
      <w:pPr>
        <w:pStyle w:val="Titre2"/>
      </w:pPr>
      <w:bookmarkStart w:id="9" w:name="_Toc103285656"/>
      <w:r w:rsidRPr="008D6AAB">
        <w:t>Ambition générale</w:t>
      </w:r>
      <w:bookmarkEnd w:id="9"/>
    </w:p>
    <w:p w14:paraId="72DDD590" w14:textId="0D63C90F" w:rsidR="008D6AAB" w:rsidRDefault="008D6AAB" w:rsidP="008D6AAB">
      <w:r>
        <w:t xml:space="preserve">Après un état des lieux (voir </w:t>
      </w:r>
      <w:hyperlink w:anchor="_Annexe_1_-" w:history="1">
        <w:r w:rsidRPr="00D95DAE">
          <w:rPr>
            <w:rStyle w:val="Lienhypertexte"/>
          </w:rPr>
          <w:t>Annexe 1</w:t>
        </w:r>
      </w:hyperlink>
      <w:r>
        <w:t>) réalisé auprès des acteurs du numérique, de la direction des ressources humaines, de la direction des finances et de la comptabilité, et du service commun de la documentation, l’équipe projet a travaillé à un premier chiffrage fondé sur une mise en conformité totale par rapport aux obligations légales actuelles. Le montant requis pour ce scénario s'élève à plus de 1,3 millions d’euros, budget difficilement atteignable dans les conditions actuelles. C’est pourquoi l’équipe a ensuite travaillé à un autre scénario fondé sur une priorisation de la mise en conformité des services les plus utilisés par la communauté de l’Université de La Réunion.</w:t>
      </w:r>
    </w:p>
    <w:p w14:paraId="6CD98595" w14:textId="77DF5440" w:rsidR="008D6AAB" w:rsidRDefault="008D6AAB" w:rsidP="008D6AAB">
      <w:r>
        <w:t xml:space="preserve">Pour cela, un focus guidé par les usages a été fait, se concentrant sur les éléments critiques pour l’ensemble des utilisateurs qu’ils soient étudiants, personnels, enseignants, enseignants-chercheurs ou grand public, ainsi que sur un parcours utilisateur étudiant et enfin sur des processus de production de documents et contenus accessibles, avec </w:t>
      </w:r>
      <w:proofErr w:type="gramStart"/>
      <w:r>
        <w:t>un volet montée</w:t>
      </w:r>
      <w:proofErr w:type="gramEnd"/>
      <w:r>
        <w:t xml:space="preserve"> en compétences de tous les contributeurs et producteurs de contenus.</w:t>
      </w:r>
    </w:p>
    <w:p w14:paraId="0B7F186A" w14:textId="77777777" w:rsidR="008D6AAB" w:rsidRDefault="008D6AAB" w:rsidP="008D6AAB">
      <w:r>
        <w:t>Le SPAN résultant se divise ainsi en deux volets :</w:t>
      </w:r>
    </w:p>
    <w:p w14:paraId="25D847D7" w14:textId="30350A87" w:rsidR="008D6AAB" w:rsidRDefault="008D6AAB" w:rsidP="008D6AAB">
      <w:pPr>
        <w:pStyle w:val="Paragraphedeliste"/>
        <w:numPr>
          <w:ilvl w:val="0"/>
          <w:numId w:val="16"/>
        </w:numPr>
      </w:pPr>
      <w:proofErr w:type="gramStart"/>
      <w:r>
        <w:t>un</w:t>
      </w:r>
      <w:proofErr w:type="gramEnd"/>
      <w:r>
        <w:t xml:space="preserve"> volet applicatif (</w:t>
      </w:r>
      <w:hyperlink w:anchor="_Annexe_2_-" w:history="1">
        <w:r w:rsidRPr="00D95DAE">
          <w:rPr>
            <w:rStyle w:val="Lienhypertexte"/>
          </w:rPr>
          <w:t>Annexe 2</w:t>
        </w:r>
      </w:hyperlink>
      <w:r>
        <w:t>) avec mise en conformité sur les services suivants :</w:t>
      </w:r>
    </w:p>
    <w:p w14:paraId="7548D8D2" w14:textId="77777777" w:rsidR="008D6AAB" w:rsidRDefault="008D6AAB" w:rsidP="008D6AAB">
      <w:pPr>
        <w:pStyle w:val="Paragraphedeliste"/>
        <w:numPr>
          <w:ilvl w:val="0"/>
          <w:numId w:val="17"/>
        </w:numPr>
      </w:pPr>
      <w:proofErr w:type="gramStart"/>
      <w:r>
        <w:t>sites</w:t>
      </w:r>
      <w:proofErr w:type="gramEnd"/>
      <w:r>
        <w:t xml:space="preserve"> de communications institutionnels les plus utilisés (site institutionnel, bibliothèque universitaire et intranet)</w:t>
      </w:r>
    </w:p>
    <w:p w14:paraId="06B2E8B4" w14:textId="77777777" w:rsidR="008D6AAB" w:rsidRDefault="008D6AAB" w:rsidP="008D6AAB">
      <w:pPr>
        <w:pStyle w:val="Paragraphedeliste"/>
        <w:numPr>
          <w:ilvl w:val="0"/>
          <w:numId w:val="17"/>
        </w:numPr>
      </w:pPr>
      <w:proofErr w:type="gramStart"/>
      <w:r>
        <w:t>applications</w:t>
      </w:r>
      <w:proofErr w:type="gramEnd"/>
      <w:r>
        <w:t xml:space="preserve"> du parcours étudiant : s’informer sur l’offre de formation, s’inscrire à l’université, consulter son emploi du temps, son dossier scolaire, utiliser la plateforme de cours en ligne</w:t>
      </w:r>
    </w:p>
    <w:p w14:paraId="1895F0F9" w14:textId="77777777" w:rsidR="008D6AAB" w:rsidRDefault="008D6AAB" w:rsidP="008D6AAB">
      <w:pPr>
        <w:pStyle w:val="Paragraphedeliste"/>
        <w:numPr>
          <w:ilvl w:val="0"/>
          <w:numId w:val="17"/>
        </w:numPr>
      </w:pPr>
      <w:proofErr w:type="gramStart"/>
      <w:r>
        <w:t>application</w:t>
      </w:r>
      <w:proofErr w:type="gramEnd"/>
      <w:r>
        <w:t xml:space="preserve"> OSE pour les enseignants.</w:t>
      </w:r>
    </w:p>
    <w:p w14:paraId="4B4A410B" w14:textId="79E073CA" w:rsidR="008D6AAB" w:rsidRDefault="008D6AAB" w:rsidP="008D6AAB">
      <w:pPr>
        <w:pStyle w:val="Paragraphedeliste"/>
        <w:numPr>
          <w:ilvl w:val="0"/>
          <w:numId w:val="16"/>
        </w:numPr>
      </w:pPr>
      <w:proofErr w:type="gramStart"/>
      <w:r>
        <w:t>un</w:t>
      </w:r>
      <w:proofErr w:type="gramEnd"/>
      <w:r>
        <w:t xml:space="preserve"> volet formation (</w:t>
      </w:r>
      <w:hyperlink w:anchor="_Annexe_3_-" w:history="1">
        <w:r w:rsidRPr="00D95DAE">
          <w:rPr>
            <w:rStyle w:val="Lienhypertexte"/>
          </w:rPr>
          <w:t>Annexe 3</w:t>
        </w:r>
      </w:hyperlink>
      <w:r>
        <w:t>) à destination de l’ensemble des producteurs de contenus potentiels, qu’ils soient personnels administratifs, enseignants ou enseignants chercheurs.</w:t>
      </w:r>
    </w:p>
    <w:p w14:paraId="4DB008CB" w14:textId="5DE31ED5" w:rsidR="008D6AAB" w:rsidRDefault="008D6AAB" w:rsidP="008D6AAB">
      <w:r>
        <w:t>Pour ce dernier volet, une attention particulière sera portée sur l’accessibilité des publications sur les réseaux sociaux.</w:t>
      </w:r>
    </w:p>
    <w:p w14:paraId="6D22C07F" w14:textId="1B3C311C" w:rsidR="008D6AAB" w:rsidRDefault="00776EBA" w:rsidP="00776EBA">
      <w:pPr>
        <w:pStyle w:val="Titre2"/>
      </w:pPr>
      <w:bookmarkStart w:id="10" w:name="_Toc103285657"/>
      <w:r w:rsidRPr="00776EBA">
        <w:t>Organisation et Mise en Œuvre</w:t>
      </w:r>
      <w:bookmarkEnd w:id="10"/>
    </w:p>
    <w:p w14:paraId="6F34B963" w14:textId="03716D7B" w:rsidR="00776EBA" w:rsidRDefault="00776EBA" w:rsidP="00776EBA">
      <w:pPr>
        <w:pStyle w:val="Titre3"/>
      </w:pPr>
      <w:bookmarkStart w:id="11" w:name="_Toc103285658"/>
      <w:r w:rsidRPr="00776EBA">
        <w:t>Moyens Humains</w:t>
      </w:r>
      <w:bookmarkEnd w:id="11"/>
    </w:p>
    <w:p w14:paraId="42BB2AE5" w14:textId="77777777" w:rsidR="00776EBA" w:rsidRDefault="00776EBA" w:rsidP="00776EBA">
      <w:r>
        <w:t>L’Université de La Réunion a créé en février 2020 une Direction de l’Audiovisuel, du Multimédia et de l’Accessibilité Numérique (DAMAN) comportant un service spécifiquement dédié au web : le Service Web et Accessibilité Numérique (SWAN). Ce service porte l'accessibilité numérique au sein de l’établissement avec l’appui de la gouvernance.</w:t>
      </w:r>
    </w:p>
    <w:p w14:paraId="63D86BC1" w14:textId="77777777" w:rsidR="0079254C" w:rsidRDefault="0079254C">
      <w:pPr>
        <w:spacing w:before="0" w:after="0"/>
      </w:pPr>
      <w:r>
        <w:br w:type="page"/>
      </w:r>
    </w:p>
    <w:p w14:paraId="3181ADF9" w14:textId="1A9867F2" w:rsidR="00776EBA" w:rsidRDefault="00776EBA" w:rsidP="00776EBA">
      <w:r>
        <w:lastRenderedPageBreak/>
        <w:t>En voici la composition :</w:t>
      </w:r>
    </w:p>
    <w:tbl>
      <w:tblPr>
        <w:tblStyle w:val="Grilledutableau"/>
        <w:tblW w:w="0" w:type="auto"/>
        <w:tblLook w:val="04A0" w:firstRow="1" w:lastRow="0" w:firstColumn="1" w:lastColumn="0" w:noHBand="0" w:noVBand="1"/>
      </w:tblPr>
      <w:tblGrid>
        <w:gridCol w:w="2264"/>
        <w:gridCol w:w="4252"/>
        <w:gridCol w:w="992"/>
        <w:gridCol w:w="1548"/>
      </w:tblGrid>
      <w:tr w:rsidR="00776EBA" w14:paraId="4CAAB07D" w14:textId="77777777" w:rsidTr="00776EBA">
        <w:tc>
          <w:tcPr>
            <w:tcW w:w="2264" w:type="dxa"/>
          </w:tcPr>
          <w:p w14:paraId="6785F853" w14:textId="77777777" w:rsidR="00776EBA" w:rsidRPr="00776EBA" w:rsidRDefault="00776EBA" w:rsidP="00776EBA">
            <w:pPr>
              <w:rPr>
                <w:b/>
                <w:bCs/>
              </w:rPr>
            </w:pPr>
            <w:r w:rsidRPr="00776EBA">
              <w:rPr>
                <w:b/>
                <w:bCs/>
              </w:rPr>
              <w:t>Fonction</w:t>
            </w:r>
          </w:p>
          <w:p w14:paraId="2F77ADC6" w14:textId="77777777" w:rsidR="00776EBA" w:rsidRPr="00776EBA" w:rsidRDefault="00776EBA" w:rsidP="00776EBA">
            <w:pPr>
              <w:rPr>
                <w:b/>
                <w:bCs/>
              </w:rPr>
            </w:pPr>
          </w:p>
        </w:tc>
        <w:tc>
          <w:tcPr>
            <w:tcW w:w="4252" w:type="dxa"/>
          </w:tcPr>
          <w:p w14:paraId="7C02C0FC" w14:textId="77777777" w:rsidR="00776EBA" w:rsidRPr="00776EBA" w:rsidRDefault="00776EBA" w:rsidP="00776EBA">
            <w:pPr>
              <w:rPr>
                <w:b/>
                <w:bCs/>
              </w:rPr>
            </w:pPr>
            <w:r w:rsidRPr="00776EBA">
              <w:rPr>
                <w:b/>
                <w:bCs/>
              </w:rPr>
              <w:t xml:space="preserve">Missions </w:t>
            </w:r>
          </w:p>
          <w:p w14:paraId="1D525FE5" w14:textId="77777777" w:rsidR="00776EBA" w:rsidRPr="00776EBA" w:rsidRDefault="00776EBA" w:rsidP="00776EBA">
            <w:pPr>
              <w:rPr>
                <w:b/>
                <w:bCs/>
              </w:rPr>
            </w:pPr>
          </w:p>
        </w:tc>
        <w:tc>
          <w:tcPr>
            <w:tcW w:w="992" w:type="dxa"/>
          </w:tcPr>
          <w:p w14:paraId="02FE71A9" w14:textId="77777777" w:rsidR="00776EBA" w:rsidRPr="00776EBA" w:rsidRDefault="00776EBA" w:rsidP="00776EBA">
            <w:pPr>
              <w:rPr>
                <w:b/>
                <w:bCs/>
              </w:rPr>
            </w:pPr>
            <w:r w:rsidRPr="00776EBA">
              <w:rPr>
                <w:b/>
                <w:bCs/>
              </w:rPr>
              <w:t>ETP</w:t>
            </w:r>
          </w:p>
          <w:p w14:paraId="7C359B4C" w14:textId="77777777" w:rsidR="00776EBA" w:rsidRPr="00776EBA" w:rsidRDefault="00776EBA" w:rsidP="00776EBA">
            <w:pPr>
              <w:rPr>
                <w:b/>
                <w:bCs/>
              </w:rPr>
            </w:pPr>
          </w:p>
        </w:tc>
        <w:tc>
          <w:tcPr>
            <w:tcW w:w="1548" w:type="dxa"/>
          </w:tcPr>
          <w:p w14:paraId="2F939AE9" w14:textId="6CA8A7FA" w:rsidR="00776EBA" w:rsidRPr="00776EBA" w:rsidRDefault="00776EBA" w:rsidP="00776EBA">
            <w:pPr>
              <w:rPr>
                <w:b/>
                <w:bCs/>
              </w:rPr>
            </w:pPr>
            <w:r w:rsidRPr="00776EBA">
              <w:rPr>
                <w:b/>
                <w:bCs/>
              </w:rPr>
              <w:t xml:space="preserve">% Acc. </w:t>
            </w:r>
            <w:proofErr w:type="spellStart"/>
            <w:r w:rsidRPr="00776EBA">
              <w:rPr>
                <w:b/>
                <w:bCs/>
              </w:rPr>
              <w:t>Num</w:t>
            </w:r>
            <w:proofErr w:type="spellEnd"/>
            <w:r w:rsidRPr="00776EBA">
              <w:rPr>
                <w:b/>
                <w:bCs/>
              </w:rPr>
              <w:t>.</w:t>
            </w:r>
          </w:p>
        </w:tc>
      </w:tr>
      <w:tr w:rsidR="00776EBA" w14:paraId="19BD0D4A" w14:textId="77777777" w:rsidTr="00776EBA">
        <w:tc>
          <w:tcPr>
            <w:tcW w:w="2264" w:type="dxa"/>
          </w:tcPr>
          <w:p w14:paraId="4B418F10" w14:textId="03AEF82B" w:rsidR="00776EBA" w:rsidRDefault="00776EBA" w:rsidP="00776EBA">
            <w:r w:rsidRPr="00776EBA">
              <w:t>Responsable</w:t>
            </w:r>
          </w:p>
        </w:tc>
        <w:tc>
          <w:tcPr>
            <w:tcW w:w="4252" w:type="dxa"/>
          </w:tcPr>
          <w:p w14:paraId="2D1A48FB" w14:textId="0417DD00" w:rsidR="00776EBA" w:rsidRDefault="00776EBA" w:rsidP="00776EBA">
            <w:r w:rsidRPr="00776EBA">
              <w:t>Coordination des activités de l’équipe, expertise technique, accompagnement des utilisateurs et aide à la décision</w:t>
            </w:r>
          </w:p>
        </w:tc>
        <w:tc>
          <w:tcPr>
            <w:tcW w:w="992" w:type="dxa"/>
          </w:tcPr>
          <w:p w14:paraId="646E9BCC" w14:textId="228604DF" w:rsidR="00776EBA" w:rsidRDefault="00776EBA" w:rsidP="00776EBA">
            <w:r>
              <w:t>1</w:t>
            </w:r>
          </w:p>
        </w:tc>
        <w:tc>
          <w:tcPr>
            <w:tcW w:w="1548" w:type="dxa"/>
          </w:tcPr>
          <w:p w14:paraId="025BE06B" w14:textId="7A798F8B" w:rsidR="00776EBA" w:rsidRDefault="00776EBA" w:rsidP="00776EBA">
            <w:r>
              <w:t>30</w:t>
            </w:r>
          </w:p>
        </w:tc>
      </w:tr>
      <w:tr w:rsidR="00776EBA" w14:paraId="0BFDF533" w14:textId="77777777" w:rsidTr="00776EBA">
        <w:tc>
          <w:tcPr>
            <w:tcW w:w="2264" w:type="dxa"/>
          </w:tcPr>
          <w:p w14:paraId="04B38E01" w14:textId="58360643" w:rsidR="00776EBA" w:rsidRDefault="00776EBA" w:rsidP="00776EBA">
            <w:r w:rsidRPr="00776EBA">
              <w:t>Référent en accessibilité numérique</w:t>
            </w:r>
          </w:p>
        </w:tc>
        <w:tc>
          <w:tcPr>
            <w:tcW w:w="4252" w:type="dxa"/>
          </w:tcPr>
          <w:p w14:paraId="775B76BB" w14:textId="77E3CF0B" w:rsidR="00776EBA" w:rsidRDefault="00776EBA" w:rsidP="00776EBA">
            <w:r>
              <w:t>S</w:t>
            </w:r>
            <w:r w:rsidRPr="00776EBA">
              <w:t>ensibiliser, former, informer, participer aux audits, co-piloter la politique de mise en accessibilité numérique</w:t>
            </w:r>
          </w:p>
        </w:tc>
        <w:tc>
          <w:tcPr>
            <w:tcW w:w="992" w:type="dxa"/>
          </w:tcPr>
          <w:p w14:paraId="0AE6D0E2" w14:textId="798AE0B0" w:rsidR="00776EBA" w:rsidRDefault="00776EBA" w:rsidP="00776EBA">
            <w:r>
              <w:t>1</w:t>
            </w:r>
          </w:p>
        </w:tc>
        <w:tc>
          <w:tcPr>
            <w:tcW w:w="1548" w:type="dxa"/>
          </w:tcPr>
          <w:p w14:paraId="53E825C6" w14:textId="1A29BA02" w:rsidR="00776EBA" w:rsidRDefault="00776EBA" w:rsidP="00776EBA">
            <w:r>
              <w:t>100</w:t>
            </w:r>
          </w:p>
        </w:tc>
      </w:tr>
      <w:tr w:rsidR="00776EBA" w14:paraId="47349859" w14:textId="77777777" w:rsidTr="00776EBA">
        <w:tc>
          <w:tcPr>
            <w:tcW w:w="2264" w:type="dxa"/>
          </w:tcPr>
          <w:p w14:paraId="28B457F5" w14:textId="018389BE" w:rsidR="00776EBA" w:rsidRDefault="00776EBA" w:rsidP="00776EBA">
            <w:r w:rsidRPr="00776EBA">
              <w:t>Technicien</w:t>
            </w:r>
          </w:p>
        </w:tc>
        <w:tc>
          <w:tcPr>
            <w:tcW w:w="4252" w:type="dxa"/>
          </w:tcPr>
          <w:p w14:paraId="299F0ED9" w14:textId="571D2988" w:rsidR="00776EBA" w:rsidRDefault="00652351" w:rsidP="00776EBA">
            <w:r>
              <w:t>A</w:t>
            </w:r>
            <w:r w:rsidR="00776EBA" w:rsidRPr="00776EBA">
              <w:t>uditeur en accessibilité numérique, support web</w:t>
            </w:r>
          </w:p>
        </w:tc>
        <w:tc>
          <w:tcPr>
            <w:tcW w:w="992" w:type="dxa"/>
          </w:tcPr>
          <w:p w14:paraId="56096130" w14:textId="740542A4" w:rsidR="00776EBA" w:rsidRDefault="00776EBA" w:rsidP="00776EBA">
            <w:r>
              <w:t>0,5</w:t>
            </w:r>
          </w:p>
        </w:tc>
        <w:tc>
          <w:tcPr>
            <w:tcW w:w="1548" w:type="dxa"/>
          </w:tcPr>
          <w:p w14:paraId="40E25DC8" w14:textId="44C5B4A9" w:rsidR="00776EBA" w:rsidRDefault="00776EBA" w:rsidP="00776EBA">
            <w:r>
              <w:t>50</w:t>
            </w:r>
          </w:p>
        </w:tc>
      </w:tr>
    </w:tbl>
    <w:p w14:paraId="3323880B" w14:textId="4B4960CD" w:rsidR="00776EBA" w:rsidRDefault="00652351" w:rsidP="00776EBA">
      <w:r w:rsidRPr="00652351">
        <w:t xml:space="preserve">L’université de La Réunion consacre au total à l'accessibilité numérique </w:t>
      </w:r>
      <w:r w:rsidRPr="00652351">
        <w:rPr>
          <w:b/>
          <w:bCs/>
        </w:rPr>
        <w:t>1,55 ETP</w:t>
      </w:r>
      <w:r w:rsidRPr="00652351">
        <w:t xml:space="preserve"> répartis sur 3 personnes.</w:t>
      </w:r>
    </w:p>
    <w:p w14:paraId="59136C77" w14:textId="78F9FF2B" w:rsidR="00652351" w:rsidRDefault="00652351" w:rsidP="00652351">
      <w:pPr>
        <w:pStyle w:val="Titre3"/>
      </w:pPr>
      <w:bookmarkStart w:id="12" w:name="_Toc103285659"/>
      <w:r w:rsidRPr="00652351">
        <w:t>Moyens financiers additionnels</w:t>
      </w:r>
      <w:bookmarkEnd w:id="12"/>
    </w:p>
    <w:p w14:paraId="7B0AB940" w14:textId="77777777" w:rsidR="00652351" w:rsidRDefault="00652351" w:rsidP="00652351">
      <w:r>
        <w:t xml:space="preserve">Le </w:t>
      </w:r>
      <w:r w:rsidRPr="00652351">
        <w:rPr>
          <w:b/>
          <w:bCs/>
        </w:rPr>
        <w:t>Fonds d’Insertion des Personnes Handicapées dans la Fonction Publique (FIPHFP)</w:t>
      </w:r>
      <w:r>
        <w:t xml:space="preserve"> fournit un maximum de </w:t>
      </w:r>
      <w:r w:rsidRPr="00652351">
        <w:rPr>
          <w:b/>
          <w:bCs/>
        </w:rPr>
        <w:t>10 000 euros / an</w:t>
      </w:r>
      <w:r>
        <w:t xml:space="preserve"> pour des formations destinées à l’amélioration de l’accessibilité. L’établissement émarge depuis 2020 à cette source de financement et espère poursuivre à l’avenir sur cette voie.</w:t>
      </w:r>
    </w:p>
    <w:p w14:paraId="6571BCDE" w14:textId="77777777" w:rsidR="00652351" w:rsidRDefault="00652351" w:rsidP="00652351">
      <w:r>
        <w:t xml:space="preserve">Cet organisme octroie également une enveloppe ponctuelle (une seule fois) de </w:t>
      </w:r>
      <w:r w:rsidRPr="00652351">
        <w:rPr>
          <w:b/>
          <w:bCs/>
        </w:rPr>
        <w:t>30 000 euros</w:t>
      </w:r>
      <w:r>
        <w:t xml:space="preserve"> pour des formations diplômantes et certifiantes. Cette enveloppe sera amenée à être utilisée pour certifier en premier lieu les acteurs du web à l’Université de La Réunion, à savoir :</w:t>
      </w:r>
    </w:p>
    <w:p w14:paraId="57676AC9" w14:textId="77777777" w:rsidR="00652351" w:rsidRDefault="00652351" w:rsidP="00652351">
      <w:pPr>
        <w:pStyle w:val="Paragraphedeliste"/>
        <w:numPr>
          <w:ilvl w:val="0"/>
          <w:numId w:val="18"/>
        </w:numPr>
      </w:pPr>
      <w:proofErr w:type="gramStart"/>
      <w:r>
        <w:t>la</w:t>
      </w:r>
      <w:proofErr w:type="gramEnd"/>
      <w:r>
        <w:t xml:space="preserve"> DIRCOM (4 personnes)</w:t>
      </w:r>
    </w:p>
    <w:p w14:paraId="35788E91" w14:textId="77777777" w:rsidR="00652351" w:rsidRDefault="00652351" w:rsidP="00652351">
      <w:pPr>
        <w:pStyle w:val="Paragraphedeliste"/>
        <w:numPr>
          <w:ilvl w:val="0"/>
          <w:numId w:val="18"/>
        </w:numPr>
      </w:pPr>
      <w:r>
        <w:t>La DSI (5 personnes, celles appartenant au SI)</w:t>
      </w:r>
    </w:p>
    <w:p w14:paraId="6D021994" w14:textId="77777777" w:rsidR="00652351" w:rsidRDefault="00652351" w:rsidP="00652351">
      <w:pPr>
        <w:pStyle w:val="Paragraphedeliste"/>
        <w:numPr>
          <w:ilvl w:val="0"/>
          <w:numId w:val="18"/>
        </w:numPr>
      </w:pPr>
      <w:r>
        <w:t>Les profils webmaster (5 personnes, BU, IUT, ESIROI, IAE, INSPE, DFTLV)</w:t>
      </w:r>
    </w:p>
    <w:p w14:paraId="049C38DB" w14:textId="77777777" w:rsidR="00652351" w:rsidRDefault="00652351" w:rsidP="00652351">
      <w:pPr>
        <w:pStyle w:val="Paragraphedeliste"/>
        <w:numPr>
          <w:ilvl w:val="0"/>
          <w:numId w:val="18"/>
        </w:numPr>
      </w:pPr>
      <w:r>
        <w:t>Le service PROD de la DAMAN et tous ses managers (5 personnes)</w:t>
      </w:r>
    </w:p>
    <w:p w14:paraId="783DE739" w14:textId="77777777" w:rsidR="00652351" w:rsidRDefault="00652351" w:rsidP="00652351">
      <w:r>
        <w:t>15 coupons de certification OPQUAST sont disponibles et auront été utilisés en totalité en 2023.</w:t>
      </w:r>
    </w:p>
    <w:p w14:paraId="29BF022B" w14:textId="3FC1E3FB" w:rsidR="00652351" w:rsidRDefault="00652351" w:rsidP="00652351">
      <w:r>
        <w:t xml:space="preserve">Le partenariat avec le </w:t>
      </w:r>
      <w:r w:rsidRPr="00652351">
        <w:rPr>
          <w:b/>
          <w:bCs/>
        </w:rPr>
        <w:t>Plan Régional d’Insertion des Travailleurs Handicapés (PRITH)</w:t>
      </w:r>
      <w:r>
        <w:t xml:space="preserve"> sera également poursuivi. Il peut financer la mise en accessibilité AAA (triple A) des webinaires en direct et en différé (langue des signes française et </w:t>
      </w:r>
      <w:proofErr w:type="spellStart"/>
      <w:r>
        <w:t>vélotypie</w:t>
      </w:r>
      <w:proofErr w:type="spellEnd"/>
      <w:r>
        <w:t>) de l’établissement.</w:t>
      </w:r>
    </w:p>
    <w:p w14:paraId="0C53FD16" w14:textId="59EFA7E5" w:rsidR="00652351" w:rsidRDefault="00652351" w:rsidP="00652351">
      <w:pPr>
        <w:pStyle w:val="Titre3"/>
      </w:pPr>
      <w:bookmarkStart w:id="13" w:name="_Toc103285660"/>
      <w:r w:rsidRPr="00652351">
        <w:t>Adossement au Schéma directeur du Handicap (SDH)</w:t>
      </w:r>
      <w:bookmarkEnd w:id="13"/>
    </w:p>
    <w:p w14:paraId="06AFFBD5" w14:textId="7986A1DD" w:rsidR="00652351" w:rsidRDefault="00652351" w:rsidP="00652351">
      <w:r>
        <w:t xml:space="preserve">Le schéma directeur du handicap (SDH) a été construit par les différents acteurs de l’Université durant </w:t>
      </w:r>
      <w:r w:rsidRPr="00652351">
        <w:rPr>
          <w:b/>
          <w:bCs/>
        </w:rPr>
        <w:t xml:space="preserve">le deuxième semestre 2021 </w:t>
      </w:r>
      <w:r>
        <w:t>et validé par le Conseil d’Administration en décembre de la même année. L’axe 3, dénommé « accessibilité » comprend un sous axe, “accessibilité numérique”, avec déclinaison des actions envisagées sur 5 ans (</w:t>
      </w:r>
      <w:hyperlink w:anchor="_Annexe_4_-" w:history="1">
        <w:r w:rsidRPr="00A01400">
          <w:rPr>
            <w:rStyle w:val="Lienhypertexte"/>
          </w:rPr>
          <w:t>Annexe 4</w:t>
        </w:r>
      </w:hyperlink>
      <w:r>
        <w:t xml:space="preserve"> pour les grands axes).</w:t>
      </w:r>
    </w:p>
    <w:p w14:paraId="5A08DD13" w14:textId="0A9464C5" w:rsidR="00652351" w:rsidRDefault="00652351" w:rsidP="00652351">
      <w:r>
        <w:t xml:space="preserve">Pour le personnel en situation de handicap, une convention a été signée avec le FIPHFP pour 3 ans. Un montant de </w:t>
      </w:r>
      <w:r w:rsidRPr="00652351">
        <w:rPr>
          <w:b/>
          <w:bCs/>
        </w:rPr>
        <w:t>22 000 euros</w:t>
      </w:r>
      <w:r>
        <w:t xml:space="preserve"> sur fonds propres a été acté afin d’améliorer </w:t>
      </w:r>
      <w:r>
        <w:lastRenderedPageBreak/>
        <w:t>l’accessibilité des outils numériques à usage interne. Ils devront être dépensés avant le 31 mars 2024.</w:t>
      </w:r>
    </w:p>
    <w:p w14:paraId="79EA9009" w14:textId="62DD51AB" w:rsidR="00652351" w:rsidRDefault="00652351" w:rsidP="00652351">
      <w:pPr>
        <w:pStyle w:val="Titre3"/>
      </w:pPr>
      <w:bookmarkStart w:id="14" w:name="_Toc103285661"/>
      <w:r w:rsidRPr="00652351">
        <w:t>Pilotage</w:t>
      </w:r>
      <w:bookmarkEnd w:id="14"/>
    </w:p>
    <w:p w14:paraId="021FB4BC" w14:textId="77777777" w:rsidR="00652351" w:rsidRDefault="00652351" w:rsidP="00652351">
      <w:r>
        <w:t>Le vice-président délégué aux usages et développement du numérique et le référent en accessibilité numérique co-pilotent la stratégie concernant l’accessibilité numérique à l’Université de La Réunion, en l’inscrivant dans la stratégie de l’établissement.</w:t>
      </w:r>
    </w:p>
    <w:p w14:paraId="15654BB8" w14:textId="77777777" w:rsidR="00652351" w:rsidRDefault="00652351" w:rsidP="00652351">
      <w:r>
        <w:t xml:space="preserve">Deux comités de pilotage seront réunis chaque année pour le pilotage stratégique de l’accessibilité numérique. </w:t>
      </w:r>
    </w:p>
    <w:p w14:paraId="6A1686E5" w14:textId="77777777" w:rsidR="00652351" w:rsidRDefault="00652351" w:rsidP="00652351">
      <w:r>
        <w:t>Chaque fin d’année, un bilan du plan annuel de l’année en cours est publié et le plan de l’année n+1 est révisé en fonction des réalisations de l’année n.</w:t>
      </w:r>
    </w:p>
    <w:p w14:paraId="5F930348" w14:textId="6357EC41" w:rsidR="00652351" w:rsidRDefault="00652351" w:rsidP="00652351">
      <w:r>
        <w:t>Chaque année, un budget établissement est fléché pour la réalisation du SPAN.</w:t>
      </w:r>
    </w:p>
    <w:p w14:paraId="3F0F76F8" w14:textId="4756B6F8" w:rsidR="00652351" w:rsidRDefault="00652351" w:rsidP="00652351">
      <w:pPr>
        <w:pStyle w:val="Titre3"/>
      </w:pPr>
      <w:bookmarkStart w:id="15" w:name="_Toc103285662"/>
      <w:r w:rsidRPr="00652351">
        <w:t>Diagnostic d’accessibilité : méthodologie</w:t>
      </w:r>
      <w:bookmarkEnd w:id="15"/>
    </w:p>
    <w:p w14:paraId="52F4EB67" w14:textId="77777777" w:rsidR="006D73F1" w:rsidRDefault="006D73F1" w:rsidP="006D73F1">
      <w:r>
        <w:t>Le nombre d’outils et services qu’il reste à évaluer est important, aussi, il est envisagé de mettre en place un outil qui sera en mesure de produire un premier diagnostic automatique. Ce type d’audit ne balaye que 20% à 40% des critères (dès 2023).</w:t>
      </w:r>
    </w:p>
    <w:p w14:paraId="18F7B389" w14:textId="77777777" w:rsidR="006D73F1" w:rsidRDefault="006D73F1" w:rsidP="006D73F1">
      <w:r>
        <w:t>L’équipe du SWAN met en place avec l’accompagnement d’une société experte une méthodologie appliquée à l’audit express d’outils numérique (2023).</w:t>
      </w:r>
    </w:p>
    <w:p w14:paraId="71AF5A25" w14:textId="77777777" w:rsidR="006D73F1" w:rsidRDefault="006D73F1" w:rsidP="006D73F1">
      <w:r>
        <w:t xml:space="preserve">Pour les outils et sites prioritaires, les audits complets seront soit </w:t>
      </w:r>
      <w:proofErr w:type="spellStart"/>
      <w:r>
        <w:t>co</w:t>
      </w:r>
      <w:proofErr w:type="spellEnd"/>
      <w:r>
        <w:t>-conduits par le SWAN et un prestataire, soit entièrement réalisés par un prestataire.</w:t>
      </w:r>
    </w:p>
    <w:p w14:paraId="6F22334D" w14:textId="77777777" w:rsidR="006D73F1" w:rsidRDefault="006D73F1" w:rsidP="006D73F1">
      <w:r>
        <w:t xml:space="preserve">Grâce à l’outil de diagnostic automatique et à des audits express ciblés et réguliers, </w:t>
      </w:r>
      <w:r w:rsidRPr="006D73F1">
        <w:rPr>
          <w:b/>
          <w:bCs/>
        </w:rPr>
        <w:t xml:space="preserve">un contrôle qualité </w:t>
      </w:r>
      <w:r>
        <w:t>sur la base d'indicateurs pourra être produit. Les actions correctives en cas de dégradations constatées de l’accessibilité numérique pourront alors être entreprises rapidement.</w:t>
      </w:r>
    </w:p>
    <w:p w14:paraId="64B6339D" w14:textId="24628F76" w:rsidR="006D73F1" w:rsidRDefault="006D73F1" w:rsidP="006D73F1">
      <w:r>
        <w:t>Un accompagnement extérieur est envisagé pour les audits complets et diagnostics complexes qui devront être menés.</w:t>
      </w:r>
    </w:p>
    <w:p w14:paraId="74266599" w14:textId="155DD1B5" w:rsidR="006D73F1" w:rsidRDefault="006D73F1" w:rsidP="006D73F1">
      <w:pPr>
        <w:pStyle w:val="Titre3"/>
      </w:pPr>
      <w:bookmarkStart w:id="16" w:name="_Toc103285663"/>
      <w:r w:rsidRPr="006D73F1">
        <w:t>Intégration de l’accessibilité numérique dans les projets et dans les procédures d’élaboration de marchés publics</w:t>
      </w:r>
      <w:bookmarkEnd w:id="16"/>
    </w:p>
    <w:p w14:paraId="3C3C92BD" w14:textId="77777777" w:rsidR="006D73F1" w:rsidRDefault="006D73F1" w:rsidP="006D73F1">
      <w:r>
        <w:t>L’accessibilité numérique est présente :</w:t>
      </w:r>
    </w:p>
    <w:p w14:paraId="7AD624AA" w14:textId="77777777" w:rsidR="006D73F1" w:rsidRDefault="006D73F1" w:rsidP="006D73F1">
      <w:pPr>
        <w:pStyle w:val="Paragraphedeliste"/>
        <w:numPr>
          <w:ilvl w:val="0"/>
          <w:numId w:val="19"/>
        </w:numPr>
      </w:pPr>
      <w:proofErr w:type="gramStart"/>
      <w:r>
        <w:t>dans</w:t>
      </w:r>
      <w:proofErr w:type="gramEnd"/>
      <w:r>
        <w:t xml:space="preserve"> le cahier des charges</w:t>
      </w:r>
    </w:p>
    <w:p w14:paraId="04497CF5" w14:textId="77777777" w:rsidR="006D73F1" w:rsidRDefault="006D73F1" w:rsidP="006D73F1">
      <w:pPr>
        <w:pStyle w:val="Paragraphedeliste"/>
        <w:numPr>
          <w:ilvl w:val="0"/>
          <w:numId w:val="19"/>
        </w:numPr>
      </w:pPr>
      <w:proofErr w:type="gramStart"/>
      <w:r>
        <w:t>dans</w:t>
      </w:r>
      <w:proofErr w:type="gramEnd"/>
      <w:r>
        <w:t xml:space="preserve"> les clauses contractuelles (appels d’offres), </w:t>
      </w:r>
    </w:p>
    <w:p w14:paraId="124B6566" w14:textId="77777777" w:rsidR="006D73F1" w:rsidRDefault="006D73F1" w:rsidP="006D73F1">
      <w:pPr>
        <w:pStyle w:val="Paragraphedeliste"/>
        <w:numPr>
          <w:ilvl w:val="0"/>
          <w:numId w:val="19"/>
        </w:numPr>
      </w:pPr>
      <w:proofErr w:type="gramStart"/>
      <w:r>
        <w:t>dans</w:t>
      </w:r>
      <w:proofErr w:type="gramEnd"/>
      <w:r>
        <w:t xml:space="preserve"> les critères de notation et de sélection des prestataires </w:t>
      </w:r>
    </w:p>
    <w:p w14:paraId="717DBBD7" w14:textId="77777777" w:rsidR="006D73F1" w:rsidRDefault="006D73F1" w:rsidP="006D73F1">
      <w:pPr>
        <w:pStyle w:val="Paragraphedeliste"/>
        <w:numPr>
          <w:ilvl w:val="0"/>
          <w:numId w:val="19"/>
        </w:numPr>
      </w:pPr>
      <w:proofErr w:type="gramStart"/>
      <w:r>
        <w:t>dans</w:t>
      </w:r>
      <w:proofErr w:type="gramEnd"/>
      <w:r>
        <w:t xml:space="preserve"> les procédures de devis,</w:t>
      </w:r>
    </w:p>
    <w:p w14:paraId="4B42C852" w14:textId="6703EF3F" w:rsidR="006D73F1" w:rsidRDefault="006D73F1" w:rsidP="006D73F1">
      <w:pPr>
        <w:pStyle w:val="Paragraphedeliste"/>
        <w:numPr>
          <w:ilvl w:val="0"/>
          <w:numId w:val="19"/>
        </w:numPr>
      </w:pPr>
      <w:proofErr w:type="gramStart"/>
      <w:r>
        <w:t>et</w:t>
      </w:r>
      <w:proofErr w:type="gramEnd"/>
      <w:r>
        <w:t>, le cas échéant, dans les conventions établies avec les opérateurs, délégataires ou partenaires.</w:t>
      </w:r>
    </w:p>
    <w:p w14:paraId="1CFE31A9" w14:textId="1716036A" w:rsidR="006D73F1" w:rsidRDefault="006D73F1" w:rsidP="006D73F1">
      <w:pPr>
        <w:pStyle w:val="Titre4"/>
      </w:pPr>
      <w:r w:rsidRPr="006D73F1">
        <w:t>Dans les projets</w:t>
      </w:r>
    </w:p>
    <w:p w14:paraId="50BE07A4" w14:textId="77777777" w:rsidR="006D73F1" w:rsidRDefault="006D73F1" w:rsidP="006D73F1">
      <w:r>
        <w:t>Les objectifs d’accessibilité et de conformité au RGAA seront rappelés dès le début des projets dont ils constitueront un axe transversal important et une exigence de base : cette intégration étant facilitée par les mesures de sensibilisation à l'accessibilité numérique et la montée en compétences progressive des agents.</w:t>
      </w:r>
    </w:p>
    <w:p w14:paraId="2537FFE9" w14:textId="77777777" w:rsidR="006D73F1" w:rsidRDefault="006D73F1" w:rsidP="006D73F1">
      <w:r>
        <w:t>De la même manière, ces objectifs et ces exigences seront rappelés dans les éventuelles conventions établies avec les opérateurs, délégataires ou partenaires de l’Université de La Réunion.</w:t>
      </w:r>
    </w:p>
    <w:p w14:paraId="428DAC3C" w14:textId="6383F4F3" w:rsidR="006D73F1" w:rsidRDefault="006D73F1" w:rsidP="006D73F1">
      <w:r>
        <w:lastRenderedPageBreak/>
        <w:t>Si des tests utilisateurs sont organisés lors de la conception ou de l’évolution d’un projet numérique, le panel utilisateur devra inclure des personnes en situation de handicap. Ces tests ont vocation à identifier les principaux blocages et à prioriser les améliorations à réaliser.</w:t>
      </w:r>
    </w:p>
    <w:p w14:paraId="5859020A" w14:textId="4FB63F1B" w:rsidR="006D73F1" w:rsidRDefault="006D73F1" w:rsidP="006D73F1">
      <w:pPr>
        <w:pStyle w:val="Titre4"/>
      </w:pPr>
      <w:r w:rsidRPr="006D73F1">
        <w:t>Procédures d’élaboration des marchés</w:t>
      </w:r>
    </w:p>
    <w:p w14:paraId="6B8F91AA" w14:textId="77777777" w:rsidR="006D73F1" w:rsidRDefault="006D73F1" w:rsidP="006D73F1">
      <w:r>
        <w:t>L’accessibilité numérique et la conformité au RGAA constituent une clause contraignante et participent à l’évaluation de la qualité de l’offre d’un prestataire lors de la commande de travaux au travers des appels d’offres notamment.</w:t>
      </w:r>
    </w:p>
    <w:p w14:paraId="7DD40923" w14:textId="77777777" w:rsidR="006D73F1" w:rsidRDefault="006D73F1" w:rsidP="006D73F1">
      <w:r>
        <w:t>Les procédures d’élaboration des marchés ainsi que les règles d’évaluation des candidatures seront adaptées pour prendre en compte les exigences de conformité au RGAA.</w:t>
      </w:r>
    </w:p>
    <w:p w14:paraId="4A6F7C20" w14:textId="77777777" w:rsidR="006D73F1" w:rsidRDefault="006D73F1" w:rsidP="006D73F1">
      <w:r>
        <w:t>Les services informatiques qui seront proposés à l’Université de La Réunion dans le cadre d’appels d’offres et de recours à des prestataires informatiques externes devront respecter les textes légaux et réglementaires concernant l’accessibilité numérique, et suivre les prescriptions du RGAA dans sa dernière version.</w:t>
      </w:r>
    </w:p>
    <w:p w14:paraId="31F9AD92" w14:textId="77777777" w:rsidR="006D73F1" w:rsidRDefault="006D73F1" w:rsidP="006D73F1">
      <w:r>
        <w:t>L’Université de La Réunion souhaite ainsi permettre l’intégration de l’accessibilité numérique dans ses clauses contractuelles (appels d’offres et devis), ce qui inclut notamment des critères de notation et de sélection des prestations de services informatiques.</w:t>
      </w:r>
    </w:p>
    <w:p w14:paraId="52847AA0" w14:textId="77777777" w:rsidR="006D73F1" w:rsidRDefault="006D73F1" w:rsidP="006D73F1">
      <w:r>
        <w:t>Il sera ainsi pris en compte dans les procédures d’appels d’offres et de devis des critères de qualité et de compétences en accessibilité numérique, ainsi que d’engagement de conformité des services informatiques fournis aux normes d’accessibilité numérique en vigueur.</w:t>
      </w:r>
    </w:p>
    <w:p w14:paraId="3F613BFE" w14:textId="77777777" w:rsidR="006D73F1" w:rsidRDefault="006D73F1" w:rsidP="006D73F1">
      <w:r>
        <w:t>Par ailleurs, une attention particulière sera portée sur l’accessibilité des formations à distance qui pourraient être proposées et fournies par des prestataires externes.</w:t>
      </w:r>
    </w:p>
    <w:p w14:paraId="1D9FC68D" w14:textId="1D4952AA" w:rsidR="006D73F1" w:rsidRDefault="006D73F1" w:rsidP="006D73F1">
      <w:r>
        <w:t>De manière générale, tout livrable sera contrôlé via les méthodes de diagnostic énumérées plus haut.</w:t>
      </w:r>
    </w:p>
    <w:p w14:paraId="015C725A" w14:textId="36737BCA" w:rsidR="006D73F1" w:rsidRDefault="006D73F1" w:rsidP="00BD5A3E">
      <w:pPr>
        <w:pStyle w:val="Titre3"/>
      </w:pPr>
      <w:bookmarkStart w:id="17" w:name="_Toc103285664"/>
      <w:r w:rsidRPr="006D73F1">
        <w:t>Gestion de compétences</w:t>
      </w:r>
      <w:bookmarkEnd w:id="17"/>
    </w:p>
    <w:p w14:paraId="0760B6FF" w14:textId="7FC2334F" w:rsidR="006D73F1" w:rsidRDefault="006D73F1" w:rsidP="006D73F1">
      <w:pPr>
        <w:pStyle w:val="Titre4"/>
      </w:pPr>
      <w:r w:rsidRPr="006D73F1">
        <w:t>Pour les personnels en poste</w:t>
      </w:r>
    </w:p>
    <w:p w14:paraId="5E770BFE" w14:textId="77777777" w:rsidR="006D73F1" w:rsidRDefault="006D73F1" w:rsidP="006D73F1">
      <w:r>
        <w:t>Le SWAN appuyé pour certaines de ses actions par des partenaires extérieurs (interministériels, associatifs, privés) se charge de faire progresser l'accessibilité numérique dans l’établissement. Ainsi, il se doit :</w:t>
      </w:r>
    </w:p>
    <w:p w14:paraId="18140750" w14:textId="77777777" w:rsidR="006D73F1" w:rsidRDefault="006D73F1" w:rsidP="006D73F1">
      <w:pPr>
        <w:pStyle w:val="Paragraphedeliste"/>
        <w:numPr>
          <w:ilvl w:val="0"/>
          <w:numId w:val="20"/>
        </w:numPr>
      </w:pPr>
      <w:proofErr w:type="gramStart"/>
      <w:r>
        <w:t>d’acculturer</w:t>
      </w:r>
      <w:proofErr w:type="gramEnd"/>
      <w:r>
        <w:t xml:space="preserve"> la communauté universitaire ;</w:t>
      </w:r>
    </w:p>
    <w:p w14:paraId="53693B16" w14:textId="77777777" w:rsidR="006D73F1" w:rsidRDefault="006D73F1" w:rsidP="006D73F1">
      <w:pPr>
        <w:pStyle w:val="Paragraphedeliste"/>
        <w:numPr>
          <w:ilvl w:val="0"/>
          <w:numId w:val="20"/>
        </w:numPr>
      </w:pPr>
      <w:proofErr w:type="gramStart"/>
      <w:r>
        <w:t>d’informer</w:t>
      </w:r>
      <w:proofErr w:type="gramEnd"/>
      <w:r>
        <w:t xml:space="preserve"> plus particulièrement les managers et la gouvernance ;</w:t>
      </w:r>
    </w:p>
    <w:p w14:paraId="070CAF96" w14:textId="77777777" w:rsidR="006D73F1" w:rsidRDefault="006D73F1" w:rsidP="006D73F1">
      <w:pPr>
        <w:pStyle w:val="Paragraphedeliste"/>
        <w:numPr>
          <w:ilvl w:val="0"/>
          <w:numId w:val="20"/>
        </w:numPr>
      </w:pPr>
      <w:proofErr w:type="gramStart"/>
      <w:r>
        <w:t>de</w:t>
      </w:r>
      <w:proofErr w:type="gramEnd"/>
      <w:r>
        <w:t xml:space="preserve"> former les acteurs du numérique, les contributeurs et les producteurs de contenus.</w:t>
      </w:r>
    </w:p>
    <w:p w14:paraId="0CB8B2E3" w14:textId="77777777" w:rsidR="006D73F1" w:rsidRDefault="006D73F1" w:rsidP="006D73F1">
      <w:r>
        <w:t>À ces fins, en collaboration avec le service de développement des compétences de la DRH, il élabore chaque année un plan de formation à destination des personnels sur le thème de l’accessibilité numérique.</w:t>
      </w:r>
    </w:p>
    <w:p w14:paraId="5837543C" w14:textId="72B06E67" w:rsidR="006D73F1" w:rsidRDefault="006D73F1" w:rsidP="006D73F1">
      <w:r>
        <w:t>Le référent accessibilité numérique intervient dans les instances chaque fois que nécessaire.</w:t>
      </w:r>
    </w:p>
    <w:p w14:paraId="75885702" w14:textId="45B5DF99" w:rsidR="006D73F1" w:rsidRDefault="006D73F1" w:rsidP="006D73F1">
      <w:pPr>
        <w:pStyle w:val="Titre4"/>
      </w:pPr>
      <w:r w:rsidRPr="006D73F1">
        <w:lastRenderedPageBreak/>
        <w:t>Pour les nouveaux personnels</w:t>
      </w:r>
    </w:p>
    <w:p w14:paraId="6D4FC5B3" w14:textId="465BD38B" w:rsidR="006D73F1" w:rsidRDefault="006D73F1" w:rsidP="006D73F1">
      <w:r w:rsidRPr="006D73F1">
        <w:t>Pour les acteurs du numérique et plus particulièrement les métiers du développement, de l’intégration et de la rédaction web, les compétences en accessibilité numérique feront partie des critères de sélection pour l’attribution des nouveaux postes et par conséquent, feront partie des compétences exigées sur la fiche de poste.</w:t>
      </w:r>
    </w:p>
    <w:p w14:paraId="4BCF6286" w14:textId="4B906589" w:rsidR="006D73F1" w:rsidRDefault="006D73F1" w:rsidP="006D73F1">
      <w:pPr>
        <w:pStyle w:val="Titre2"/>
      </w:pPr>
      <w:bookmarkStart w:id="18" w:name="_Toc103285665"/>
      <w:r w:rsidRPr="006D73F1">
        <w:t>Le SPAN</w:t>
      </w:r>
      <w:r>
        <w:t xml:space="preserve"> : </w:t>
      </w:r>
      <w:r w:rsidRPr="006D73F1">
        <w:t>chiffres et calendrier</w:t>
      </w:r>
      <w:bookmarkEnd w:id="18"/>
    </w:p>
    <w:p w14:paraId="7505957C" w14:textId="77777777" w:rsidR="006D73F1" w:rsidRDefault="006D73F1" w:rsidP="006D73F1">
      <w:r>
        <w:t>Un effort interne plus important est prévu au départ, avec une montée progressive de l’accompagnement externe sur les 3 années du schéma pluriannuel 2022-2025. La répartition du budget consolidé prévisionnel des 3 années se fait selon la répartition suivante :</w:t>
      </w:r>
    </w:p>
    <w:p w14:paraId="7244AD54" w14:textId="77777777" w:rsidR="006D73F1" w:rsidRDefault="006D73F1" w:rsidP="00A0782C">
      <w:pPr>
        <w:pStyle w:val="Paragraphedeliste"/>
        <w:numPr>
          <w:ilvl w:val="0"/>
          <w:numId w:val="21"/>
        </w:numPr>
      </w:pPr>
      <w:r>
        <w:t>2022-2023 : 42%</w:t>
      </w:r>
    </w:p>
    <w:p w14:paraId="4FBA7650" w14:textId="77777777" w:rsidR="006D73F1" w:rsidRDefault="006D73F1" w:rsidP="00A0782C">
      <w:pPr>
        <w:pStyle w:val="Paragraphedeliste"/>
        <w:numPr>
          <w:ilvl w:val="0"/>
          <w:numId w:val="21"/>
        </w:numPr>
      </w:pPr>
      <w:r>
        <w:t>2023-2024 : 29%</w:t>
      </w:r>
    </w:p>
    <w:p w14:paraId="261ACB1E" w14:textId="6E306297" w:rsidR="006D73F1" w:rsidRDefault="006D73F1" w:rsidP="00A0782C">
      <w:pPr>
        <w:pStyle w:val="Paragraphedeliste"/>
        <w:numPr>
          <w:ilvl w:val="0"/>
          <w:numId w:val="21"/>
        </w:numPr>
      </w:pPr>
      <w:r>
        <w:t>2024-2025 : 29%</w:t>
      </w:r>
    </w:p>
    <w:p w14:paraId="514325ED" w14:textId="08F09DA8" w:rsidR="006D73F1" w:rsidRDefault="00A0782C" w:rsidP="00A0782C">
      <w:pPr>
        <w:pStyle w:val="Titre3"/>
      </w:pPr>
      <w:bookmarkStart w:id="19" w:name="_Toc103285666"/>
      <w:r w:rsidRPr="00A0782C">
        <w:t>Les actions en 2022</w:t>
      </w:r>
      <w:bookmarkEnd w:id="19"/>
    </w:p>
    <w:p w14:paraId="11DCEFF4" w14:textId="6F5C77F5" w:rsidR="00A0782C" w:rsidRDefault="00A0782C" w:rsidP="00A0782C">
      <w:pPr>
        <w:pStyle w:val="Titre4"/>
      </w:pPr>
      <w:r w:rsidRPr="00A0782C">
        <w:t xml:space="preserve">    Création et validation du SPAN</w:t>
      </w:r>
    </w:p>
    <w:p w14:paraId="5877245F" w14:textId="77777777" w:rsidR="00A0782C" w:rsidRDefault="00A0782C" w:rsidP="00A0782C">
      <w:pPr>
        <w:pStyle w:val="Paragraphedeliste"/>
        <w:numPr>
          <w:ilvl w:val="0"/>
          <w:numId w:val="22"/>
        </w:numPr>
      </w:pPr>
      <w:r>
        <w:t>Élaboration et co-construction du SPAN ;</w:t>
      </w:r>
    </w:p>
    <w:p w14:paraId="6DBB3177" w14:textId="77777777" w:rsidR="00A0782C" w:rsidRDefault="00A0782C" w:rsidP="00A0782C">
      <w:pPr>
        <w:pStyle w:val="Paragraphedeliste"/>
        <w:numPr>
          <w:ilvl w:val="0"/>
          <w:numId w:val="22"/>
        </w:numPr>
      </w:pPr>
      <w:r>
        <w:t xml:space="preserve">Passage dans les différentes instances pour avis : </w:t>
      </w:r>
    </w:p>
    <w:p w14:paraId="4165A415" w14:textId="77777777" w:rsidR="00A0782C" w:rsidRDefault="00A0782C" w:rsidP="00A0782C">
      <w:pPr>
        <w:pStyle w:val="Paragraphedeliste"/>
        <w:numPr>
          <w:ilvl w:val="1"/>
          <w:numId w:val="22"/>
        </w:numPr>
      </w:pPr>
      <w:r>
        <w:t>Commission Hygiène, Sécurité et Conditions de travail (CHSCT) du 30 mai 2022,</w:t>
      </w:r>
    </w:p>
    <w:p w14:paraId="73548B39" w14:textId="77777777" w:rsidR="00A0782C" w:rsidRDefault="00A0782C" w:rsidP="00A0782C">
      <w:pPr>
        <w:pStyle w:val="Paragraphedeliste"/>
        <w:numPr>
          <w:ilvl w:val="1"/>
          <w:numId w:val="22"/>
        </w:numPr>
      </w:pPr>
      <w:r>
        <w:t>Comité Technique d’Établissement (CTE) du 10 juin 2022,</w:t>
      </w:r>
    </w:p>
    <w:p w14:paraId="0D6E027F" w14:textId="77777777" w:rsidR="00A0782C" w:rsidRDefault="00A0782C" w:rsidP="00A0782C">
      <w:pPr>
        <w:pStyle w:val="Paragraphedeliste"/>
        <w:numPr>
          <w:ilvl w:val="1"/>
          <w:numId w:val="22"/>
        </w:numPr>
      </w:pPr>
      <w:r>
        <w:t>Conseil Académique plénier (Cac) du 28 juin 2022.</w:t>
      </w:r>
    </w:p>
    <w:p w14:paraId="50626E1E" w14:textId="77777777" w:rsidR="00A0782C" w:rsidRDefault="00A0782C" w:rsidP="00A0782C">
      <w:pPr>
        <w:pStyle w:val="Paragraphedeliste"/>
        <w:numPr>
          <w:ilvl w:val="0"/>
          <w:numId w:val="22"/>
        </w:numPr>
      </w:pPr>
      <w:r>
        <w:t>Validation par le Conseil d'Administration plénier (CA) du 7 juillet 2022 ;</w:t>
      </w:r>
    </w:p>
    <w:p w14:paraId="4972ED7C" w14:textId="646DD20E" w:rsidR="00A0782C" w:rsidRDefault="00A0782C" w:rsidP="00A0782C">
      <w:pPr>
        <w:pStyle w:val="Paragraphedeliste"/>
        <w:numPr>
          <w:ilvl w:val="0"/>
          <w:numId w:val="22"/>
        </w:numPr>
      </w:pPr>
      <w:r>
        <w:t>Concrétisation au CA d’octobre 2022 : budget 2023.</w:t>
      </w:r>
    </w:p>
    <w:p w14:paraId="64205AD2" w14:textId="71746BDF" w:rsidR="00A0782C" w:rsidRDefault="00A0782C" w:rsidP="00A0782C">
      <w:pPr>
        <w:pStyle w:val="Titre4"/>
      </w:pPr>
      <w:r w:rsidRPr="00A0782C">
        <w:t>Acculturation et mise en conformité</w:t>
      </w:r>
    </w:p>
    <w:p w14:paraId="5ECB2367" w14:textId="77777777" w:rsidR="00A0782C" w:rsidRDefault="00A0782C" w:rsidP="00A0782C">
      <w:pPr>
        <w:pStyle w:val="Paragraphedeliste"/>
        <w:numPr>
          <w:ilvl w:val="0"/>
          <w:numId w:val="23"/>
        </w:numPr>
      </w:pPr>
      <w:r>
        <w:t>Recherche de financements externes avec la Direction des Finances et Comptabilité (DFC) ;</w:t>
      </w:r>
    </w:p>
    <w:p w14:paraId="321A0128" w14:textId="77777777" w:rsidR="00A0782C" w:rsidRDefault="00A0782C" w:rsidP="00A0782C">
      <w:pPr>
        <w:pStyle w:val="Paragraphedeliste"/>
        <w:numPr>
          <w:ilvl w:val="0"/>
          <w:numId w:val="23"/>
        </w:numPr>
      </w:pPr>
      <w:r>
        <w:t xml:space="preserve">Élaboration du cahier des charges en vue de la passation des marchés d’audits en 2023 ; </w:t>
      </w:r>
    </w:p>
    <w:p w14:paraId="1A5B49C4" w14:textId="04FA7163" w:rsidR="00A0782C" w:rsidRDefault="00A0782C" w:rsidP="00A0782C">
      <w:pPr>
        <w:pStyle w:val="Paragraphedeliste"/>
        <w:numPr>
          <w:ilvl w:val="0"/>
          <w:numId w:val="23"/>
        </w:numPr>
      </w:pPr>
      <w:r>
        <w:t>Organisation des Journées Universitaires de l’Accessibilité Universelle (1 et 2 décembre 2022).</w:t>
      </w:r>
    </w:p>
    <w:p w14:paraId="16DC8F53" w14:textId="75F60340" w:rsidR="00A0782C" w:rsidRDefault="00A0782C" w:rsidP="00A0782C">
      <w:pPr>
        <w:pStyle w:val="Titre3"/>
      </w:pPr>
      <w:bookmarkStart w:id="20" w:name="_Toc103285667"/>
      <w:r w:rsidRPr="00A0782C">
        <w:t>Les actions en 2023</w:t>
      </w:r>
      <w:bookmarkEnd w:id="20"/>
    </w:p>
    <w:p w14:paraId="0E07453B" w14:textId="77777777" w:rsidR="00A0782C" w:rsidRDefault="00A0782C" w:rsidP="00A0782C">
      <w:pPr>
        <w:pStyle w:val="Paragraphedeliste"/>
        <w:numPr>
          <w:ilvl w:val="0"/>
          <w:numId w:val="24"/>
        </w:numPr>
      </w:pPr>
      <w:r>
        <w:t>Structurer les chaînes de production de contenu en intégrant l’accessibilité numérique dès le début et à toutes les étapes du processus ;</w:t>
      </w:r>
    </w:p>
    <w:p w14:paraId="47F79251" w14:textId="77777777" w:rsidR="00A0782C" w:rsidRDefault="00A0782C" w:rsidP="00A0782C">
      <w:pPr>
        <w:pStyle w:val="Paragraphedeliste"/>
        <w:numPr>
          <w:ilvl w:val="0"/>
          <w:numId w:val="24"/>
        </w:numPr>
      </w:pPr>
      <w:r>
        <w:t>Travailler sur les recrutements, les fiches de poste, les clauses pour les marchés publics ;</w:t>
      </w:r>
    </w:p>
    <w:p w14:paraId="7FB51BDE" w14:textId="5917A5EF" w:rsidR="00A0782C" w:rsidRDefault="00A0782C" w:rsidP="00A0782C">
      <w:pPr>
        <w:pStyle w:val="Paragraphedeliste"/>
        <w:numPr>
          <w:ilvl w:val="0"/>
          <w:numId w:val="24"/>
        </w:numPr>
      </w:pPr>
      <w:r>
        <w:t>Diminuer et rationaliser le nombre de sites web : arbitrages techniques et non-techniques ;</w:t>
      </w:r>
    </w:p>
    <w:p w14:paraId="61FB09CF" w14:textId="77777777" w:rsidR="00A0782C" w:rsidRDefault="00A0782C" w:rsidP="00A0782C">
      <w:pPr>
        <w:pStyle w:val="Paragraphedeliste"/>
        <w:numPr>
          <w:ilvl w:val="0"/>
          <w:numId w:val="24"/>
        </w:numPr>
      </w:pPr>
      <w:r>
        <w:t>Créer et refondre les sites web et l’intranet ;</w:t>
      </w:r>
    </w:p>
    <w:p w14:paraId="76B43545" w14:textId="77777777" w:rsidR="00A0782C" w:rsidRDefault="00A0782C" w:rsidP="00A0782C">
      <w:pPr>
        <w:pStyle w:val="Paragraphedeliste"/>
        <w:numPr>
          <w:ilvl w:val="0"/>
          <w:numId w:val="24"/>
        </w:numPr>
      </w:pPr>
      <w:r>
        <w:t>Mettre en place un outil automatique d’audit pour notre parc de sites ;</w:t>
      </w:r>
    </w:p>
    <w:p w14:paraId="7A6C878E" w14:textId="77777777" w:rsidR="00A0782C" w:rsidRDefault="00A0782C" w:rsidP="00A0782C">
      <w:pPr>
        <w:pStyle w:val="Paragraphedeliste"/>
        <w:numPr>
          <w:ilvl w:val="0"/>
          <w:numId w:val="24"/>
        </w:numPr>
      </w:pPr>
      <w:r>
        <w:t>Passer des marchés publics pour les audits ;</w:t>
      </w:r>
    </w:p>
    <w:p w14:paraId="39FE4895" w14:textId="43457506" w:rsidR="00A0782C" w:rsidRDefault="00A0782C" w:rsidP="00A0782C">
      <w:pPr>
        <w:pStyle w:val="Paragraphedeliste"/>
        <w:numPr>
          <w:ilvl w:val="0"/>
          <w:numId w:val="24"/>
        </w:numPr>
      </w:pPr>
      <w:r>
        <w:t>Mettre en place les actions de formation spécifiques externes (Moodle, DSI…).</w:t>
      </w:r>
    </w:p>
    <w:p w14:paraId="5AA741EB" w14:textId="539DAE16" w:rsidR="00A0782C" w:rsidRDefault="00A0782C" w:rsidP="00A0782C">
      <w:pPr>
        <w:pStyle w:val="Titre3"/>
      </w:pPr>
      <w:bookmarkStart w:id="21" w:name="_Toc103285668"/>
      <w:r w:rsidRPr="00A0782C">
        <w:t xml:space="preserve">Les actions </w:t>
      </w:r>
      <w:r>
        <w:t>en</w:t>
      </w:r>
      <w:r w:rsidRPr="00A0782C">
        <w:t xml:space="preserve"> 2024</w:t>
      </w:r>
      <w:bookmarkEnd w:id="21"/>
    </w:p>
    <w:p w14:paraId="5D9B579F" w14:textId="77777777" w:rsidR="00A0782C" w:rsidRDefault="00A0782C" w:rsidP="00A0782C">
      <w:pPr>
        <w:pStyle w:val="Paragraphedeliste"/>
        <w:numPr>
          <w:ilvl w:val="0"/>
          <w:numId w:val="25"/>
        </w:numPr>
      </w:pPr>
      <w:r>
        <w:t>Continuer, pérenniser et développer les actions initiées en 2022 et 2023 ;</w:t>
      </w:r>
    </w:p>
    <w:p w14:paraId="2B7D5F4E" w14:textId="77777777" w:rsidR="00A0782C" w:rsidRDefault="00A0782C" w:rsidP="00A0782C">
      <w:pPr>
        <w:pStyle w:val="Paragraphedeliste"/>
        <w:numPr>
          <w:ilvl w:val="0"/>
          <w:numId w:val="25"/>
        </w:numPr>
      </w:pPr>
      <w:r>
        <w:lastRenderedPageBreak/>
        <w:t>Contrôler et corriger les outils et les contenus produits et en production ;</w:t>
      </w:r>
    </w:p>
    <w:p w14:paraId="1E8C58A8" w14:textId="632C53BD" w:rsidR="00A0782C" w:rsidRDefault="00A0782C" w:rsidP="00A0782C">
      <w:pPr>
        <w:pStyle w:val="Paragraphedeliste"/>
        <w:numPr>
          <w:ilvl w:val="0"/>
          <w:numId w:val="25"/>
        </w:numPr>
      </w:pPr>
      <w:r>
        <w:t>Mettre en place un système d’audits de contrôle manuels et automatiques pour maintenir l’accessibilité.</w:t>
      </w:r>
    </w:p>
    <w:p w14:paraId="36955A05" w14:textId="0EFBE473" w:rsidR="00A0782C" w:rsidRDefault="00616C9F" w:rsidP="00616C9F">
      <w:pPr>
        <w:pStyle w:val="Titre3"/>
      </w:pPr>
      <w:bookmarkStart w:id="22" w:name="_Toc103285669"/>
      <w:r w:rsidRPr="00616C9F">
        <w:t>Les actions 2025</w:t>
      </w:r>
      <w:bookmarkEnd w:id="22"/>
    </w:p>
    <w:p w14:paraId="7D4146FB" w14:textId="3C705C1A" w:rsidR="00616C9F" w:rsidRDefault="00616C9F" w:rsidP="00616C9F">
      <w:pPr>
        <w:pStyle w:val="Paragraphedeliste"/>
        <w:numPr>
          <w:ilvl w:val="0"/>
          <w:numId w:val="26"/>
        </w:numPr>
      </w:pPr>
      <w:r>
        <w:t>Continuer à informer et former les personnels, notamment les nouveaux arrivants ;</w:t>
      </w:r>
    </w:p>
    <w:p w14:paraId="4C4D138D" w14:textId="248E3C8C" w:rsidR="00616C9F" w:rsidRDefault="00616C9F" w:rsidP="00616C9F">
      <w:pPr>
        <w:pStyle w:val="Paragraphedeliste"/>
        <w:numPr>
          <w:ilvl w:val="0"/>
          <w:numId w:val="26"/>
        </w:numPr>
      </w:pPr>
      <w:r>
        <w:t>Évaluation du Span 2022 – 2025 ;</w:t>
      </w:r>
    </w:p>
    <w:p w14:paraId="72AAF2A2" w14:textId="3B4DFD4F" w:rsidR="00616C9F" w:rsidRDefault="00616C9F" w:rsidP="00616C9F">
      <w:pPr>
        <w:pStyle w:val="Paragraphedeliste"/>
        <w:numPr>
          <w:ilvl w:val="0"/>
          <w:numId w:val="26"/>
        </w:numPr>
      </w:pPr>
      <w:r>
        <w:t>Élaboration du SPAN 2025 - 2028.</w:t>
      </w:r>
    </w:p>
    <w:p w14:paraId="39FB8CF3" w14:textId="1B59ABEE" w:rsidR="00616C9F" w:rsidRDefault="00616C9F" w:rsidP="00616C9F">
      <w:pPr>
        <w:pStyle w:val="Titre3"/>
      </w:pPr>
      <w:bookmarkStart w:id="23" w:name="_Toc103285670"/>
      <w:r w:rsidRPr="00616C9F">
        <w:t>Les éléments budgétaires</w:t>
      </w:r>
      <w:bookmarkEnd w:id="23"/>
    </w:p>
    <w:p w14:paraId="5A25973C" w14:textId="12DAEAD4" w:rsidR="00616C9F" w:rsidRDefault="00616C9F" w:rsidP="00616C9F">
      <w:r w:rsidRPr="00616C9F">
        <w:t>Le SPAN 2022-2025 est évalué à 364 572 euros sur 3 ans, dont 265 913 euros à répartir sur les budgets des années 2023, 2024 et 2025.</w:t>
      </w:r>
    </w:p>
    <w:tbl>
      <w:tblPr>
        <w:tblStyle w:val="Grilledutableau"/>
        <w:tblW w:w="0" w:type="auto"/>
        <w:tblLook w:val="04A0" w:firstRow="1" w:lastRow="0" w:firstColumn="1" w:lastColumn="0" w:noHBand="0" w:noVBand="1"/>
      </w:tblPr>
      <w:tblGrid>
        <w:gridCol w:w="1208"/>
        <w:gridCol w:w="1300"/>
        <w:gridCol w:w="811"/>
        <w:gridCol w:w="1659"/>
        <w:gridCol w:w="1396"/>
        <w:gridCol w:w="236"/>
        <w:gridCol w:w="1182"/>
        <w:gridCol w:w="1264"/>
      </w:tblGrid>
      <w:tr w:rsidR="00165D7E" w14:paraId="6CC40909" w14:textId="77777777" w:rsidTr="00165D7E">
        <w:tc>
          <w:tcPr>
            <w:tcW w:w="1208" w:type="dxa"/>
            <w:vAlign w:val="center"/>
          </w:tcPr>
          <w:p w14:paraId="35FBF789" w14:textId="675A98F1" w:rsidR="00616C9F" w:rsidRDefault="00616C9F" w:rsidP="00616C9F">
            <w:pPr>
              <w:jc w:val="center"/>
            </w:pPr>
            <w:r w:rsidRPr="00616C9F">
              <w:t>Budget consolidé TTC</w:t>
            </w:r>
          </w:p>
        </w:tc>
        <w:tc>
          <w:tcPr>
            <w:tcW w:w="1300" w:type="dxa"/>
            <w:shd w:val="clear" w:color="auto" w:fill="C3EFF0"/>
            <w:vAlign w:val="center"/>
          </w:tcPr>
          <w:p w14:paraId="1E540096" w14:textId="135CE915" w:rsidR="00616C9F" w:rsidRDefault="00616C9F" w:rsidP="00616C9F">
            <w:pPr>
              <w:jc w:val="center"/>
            </w:pPr>
            <w:r w:rsidRPr="00616C9F">
              <w:t>360</w:t>
            </w:r>
            <w:r w:rsidRPr="00616C9F">
              <w:rPr>
                <w:rFonts w:ascii="Arial" w:hAnsi="Arial" w:cs="Arial"/>
              </w:rPr>
              <w:t> </w:t>
            </w:r>
            <w:r w:rsidRPr="00616C9F">
              <w:t>051 €</w:t>
            </w:r>
          </w:p>
        </w:tc>
        <w:tc>
          <w:tcPr>
            <w:tcW w:w="811" w:type="dxa"/>
            <w:tcBorders>
              <w:top w:val="nil"/>
              <w:bottom w:val="nil"/>
            </w:tcBorders>
            <w:vAlign w:val="center"/>
          </w:tcPr>
          <w:p w14:paraId="17A74EB7" w14:textId="54E55D28" w:rsidR="00616C9F" w:rsidRDefault="00616C9F" w:rsidP="00616C9F">
            <w:pPr>
              <w:jc w:val="center"/>
            </w:pPr>
            <w:r>
              <w:t>Dont :</w:t>
            </w:r>
          </w:p>
        </w:tc>
        <w:tc>
          <w:tcPr>
            <w:tcW w:w="1659" w:type="dxa"/>
            <w:vAlign w:val="center"/>
          </w:tcPr>
          <w:p w14:paraId="08837C41" w14:textId="1A415E6D" w:rsidR="00616C9F" w:rsidRDefault="00616C9F" w:rsidP="00616C9F">
            <w:pPr>
              <w:jc w:val="center"/>
            </w:pPr>
            <w:r w:rsidRPr="00616C9F">
              <w:t>Moyens établissemen</w:t>
            </w:r>
            <w:r>
              <w:t>t</w:t>
            </w:r>
            <w:r>
              <w:br/>
            </w:r>
            <w:r w:rsidRPr="00616C9F">
              <w:t>TTC</w:t>
            </w:r>
          </w:p>
        </w:tc>
        <w:tc>
          <w:tcPr>
            <w:tcW w:w="1396" w:type="dxa"/>
            <w:shd w:val="clear" w:color="auto" w:fill="C3EFF0"/>
            <w:vAlign w:val="center"/>
          </w:tcPr>
          <w:p w14:paraId="000FFDCE" w14:textId="77777777" w:rsidR="00616C9F" w:rsidRPr="00616C9F" w:rsidRDefault="00616C9F" w:rsidP="00616C9F">
            <w:pPr>
              <w:jc w:val="center"/>
            </w:pPr>
            <w:r w:rsidRPr="00616C9F">
              <w:t>261</w:t>
            </w:r>
            <w:r w:rsidRPr="00616C9F">
              <w:rPr>
                <w:rFonts w:ascii="Arial" w:hAnsi="Arial" w:cs="Arial"/>
              </w:rPr>
              <w:t> </w:t>
            </w:r>
            <w:r w:rsidRPr="00616C9F">
              <w:t>392 €</w:t>
            </w:r>
          </w:p>
          <w:p w14:paraId="37427ED0" w14:textId="77777777" w:rsidR="00616C9F" w:rsidRDefault="00616C9F" w:rsidP="00616C9F">
            <w:pPr>
              <w:jc w:val="center"/>
            </w:pPr>
          </w:p>
        </w:tc>
        <w:tc>
          <w:tcPr>
            <w:tcW w:w="236" w:type="dxa"/>
            <w:tcBorders>
              <w:top w:val="nil"/>
              <w:bottom w:val="nil"/>
            </w:tcBorders>
            <w:vAlign w:val="center"/>
          </w:tcPr>
          <w:p w14:paraId="0D07CA0E" w14:textId="77777777" w:rsidR="00616C9F" w:rsidRDefault="00616C9F" w:rsidP="00616C9F">
            <w:pPr>
              <w:jc w:val="center"/>
            </w:pPr>
          </w:p>
        </w:tc>
        <w:tc>
          <w:tcPr>
            <w:tcW w:w="1182" w:type="dxa"/>
            <w:vAlign w:val="center"/>
          </w:tcPr>
          <w:p w14:paraId="7EDF426A" w14:textId="16EF98F7" w:rsidR="00616C9F" w:rsidRDefault="00616C9F" w:rsidP="00616C9F">
            <w:pPr>
              <w:jc w:val="center"/>
            </w:pPr>
            <w:r w:rsidRPr="00616C9F">
              <w:t>Masse salariale du SWAN</w:t>
            </w:r>
            <w:r>
              <w:br/>
            </w:r>
            <w:r w:rsidRPr="00616C9F">
              <w:t>TTC</w:t>
            </w:r>
          </w:p>
        </w:tc>
        <w:tc>
          <w:tcPr>
            <w:tcW w:w="1264" w:type="dxa"/>
            <w:shd w:val="clear" w:color="auto" w:fill="C3EFF0"/>
            <w:vAlign w:val="center"/>
          </w:tcPr>
          <w:p w14:paraId="285246D4" w14:textId="77777777" w:rsidR="00616C9F" w:rsidRPr="00616C9F" w:rsidRDefault="00616C9F" w:rsidP="00616C9F">
            <w:pPr>
              <w:jc w:val="center"/>
            </w:pPr>
            <w:r w:rsidRPr="00616C9F">
              <w:t>98</w:t>
            </w:r>
            <w:r w:rsidRPr="00616C9F">
              <w:rPr>
                <w:rFonts w:ascii="Arial" w:hAnsi="Arial" w:cs="Arial"/>
              </w:rPr>
              <w:t> </w:t>
            </w:r>
            <w:r w:rsidRPr="00616C9F">
              <w:t>659 €</w:t>
            </w:r>
          </w:p>
          <w:p w14:paraId="5603D9B6" w14:textId="77777777" w:rsidR="00616C9F" w:rsidRDefault="00616C9F" w:rsidP="00616C9F">
            <w:pPr>
              <w:jc w:val="center"/>
            </w:pPr>
          </w:p>
        </w:tc>
      </w:tr>
    </w:tbl>
    <w:p w14:paraId="736F8A00" w14:textId="45176023" w:rsidR="00616C9F" w:rsidRDefault="00165D7E" w:rsidP="00616C9F">
      <w:r w:rsidRPr="00165D7E">
        <w:t xml:space="preserve">Détail en </w:t>
      </w:r>
      <w:hyperlink w:anchor="_Annexe_5_-" w:history="1">
        <w:r w:rsidR="00A01400" w:rsidRPr="00A01400">
          <w:rPr>
            <w:rStyle w:val="Lienhypertexte"/>
          </w:rPr>
          <w:t>A</w:t>
        </w:r>
        <w:r w:rsidRPr="00A01400">
          <w:rPr>
            <w:rStyle w:val="Lienhypertexte"/>
          </w:rPr>
          <w:t>nnexe 5</w:t>
        </w:r>
      </w:hyperlink>
      <w:r w:rsidR="00A01400">
        <w:t>.</w:t>
      </w:r>
    </w:p>
    <w:p w14:paraId="4C406352" w14:textId="1CF0CA30" w:rsidR="00165D7E" w:rsidRDefault="00165D7E" w:rsidP="00616C9F">
      <w:r w:rsidRPr="00165D7E">
        <w:t>L’investissement sur fonds propres demandé à l’établissement est le suivant :</w:t>
      </w:r>
    </w:p>
    <w:p w14:paraId="5C894E41" w14:textId="1D09293B" w:rsidR="00165D7E" w:rsidRDefault="00165D7E" w:rsidP="00165D7E">
      <w:pPr>
        <w:pStyle w:val="Paragraphedeliste"/>
        <w:numPr>
          <w:ilvl w:val="0"/>
          <w:numId w:val="27"/>
        </w:numPr>
      </w:pPr>
      <w:r>
        <w:t xml:space="preserve">Année 1 : </w:t>
      </w:r>
      <w:r w:rsidRPr="00165D7E">
        <w:t>79</w:t>
      </w:r>
      <w:r w:rsidRPr="00165D7E">
        <w:rPr>
          <w:rFonts w:ascii="Arial" w:hAnsi="Arial" w:cs="Arial"/>
        </w:rPr>
        <w:t> </w:t>
      </w:r>
      <w:r w:rsidRPr="00165D7E">
        <w:t>428 €</w:t>
      </w:r>
    </w:p>
    <w:p w14:paraId="037F7A2E" w14:textId="1C6BEFA7" w:rsidR="00165D7E" w:rsidRDefault="00165D7E" w:rsidP="00165D7E">
      <w:pPr>
        <w:pStyle w:val="Paragraphedeliste"/>
        <w:numPr>
          <w:ilvl w:val="0"/>
          <w:numId w:val="27"/>
        </w:numPr>
      </w:pPr>
      <w:r>
        <w:t xml:space="preserve">Année 2 : </w:t>
      </w:r>
      <w:r w:rsidRPr="00165D7E">
        <w:t>87</w:t>
      </w:r>
      <w:r w:rsidRPr="00165D7E">
        <w:rPr>
          <w:rFonts w:ascii="Arial" w:hAnsi="Arial" w:cs="Arial"/>
        </w:rPr>
        <w:t> </w:t>
      </w:r>
      <w:r w:rsidRPr="00165D7E">
        <w:t>621 €</w:t>
      </w:r>
    </w:p>
    <w:p w14:paraId="38A81601" w14:textId="77777777" w:rsidR="00165D7E" w:rsidRPr="00165D7E" w:rsidRDefault="00165D7E" w:rsidP="00165D7E">
      <w:pPr>
        <w:pStyle w:val="Paragraphedeliste"/>
        <w:numPr>
          <w:ilvl w:val="0"/>
          <w:numId w:val="27"/>
        </w:numPr>
      </w:pPr>
      <w:r>
        <w:t xml:space="preserve">Année 3 : </w:t>
      </w:r>
      <w:r w:rsidRPr="00165D7E">
        <w:t>94</w:t>
      </w:r>
      <w:r w:rsidRPr="00165D7E">
        <w:rPr>
          <w:rFonts w:ascii="Arial" w:hAnsi="Arial" w:cs="Arial"/>
        </w:rPr>
        <w:t> </w:t>
      </w:r>
      <w:r w:rsidRPr="00165D7E">
        <w:t>343 €</w:t>
      </w:r>
    </w:p>
    <w:p w14:paraId="73D599E1" w14:textId="2203A6D1" w:rsidR="00165D7E" w:rsidRDefault="00165D7E">
      <w:pPr>
        <w:spacing w:before="0" w:after="0"/>
      </w:pPr>
      <w:r>
        <w:br w:type="page"/>
      </w:r>
    </w:p>
    <w:p w14:paraId="0123561A" w14:textId="2B7F567C" w:rsidR="00165D7E" w:rsidRDefault="00221158" w:rsidP="00221158">
      <w:pPr>
        <w:pStyle w:val="Titre1"/>
      </w:pPr>
      <w:bookmarkStart w:id="24" w:name="_Toc103285671"/>
      <w:r w:rsidRPr="00221158">
        <w:lastRenderedPageBreak/>
        <w:t>Annexes</w:t>
      </w:r>
      <w:bookmarkEnd w:id="24"/>
    </w:p>
    <w:p w14:paraId="4F258D0A" w14:textId="266A98E3" w:rsidR="00221158" w:rsidRDefault="00221158" w:rsidP="00221158">
      <w:pPr>
        <w:pStyle w:val="Titre2"/>
      </w:pPr>
      <w:bookmarkStart w:id="25" w:name="_Annexe_1_-"/>
      <w:bookmarkStart w:id="26" w:name="_Toc103285672"/>
      <w:bookmarkEnd w:id="25"/>
      <w:r w:rsidRPr="00221158">
        <w:t>Annexe 1 - État des lieux en nombre d’applications, outils ou sites numériques</w:t>
      </w:r>
      <w:bookmarkEnd w:id="26"/>
    </w:p>
    <w:p w14:paraId="088933C5" w14:textId="48E61654" w:rsidR="00221158" w:rsidRDefault="00221158" w:rsidP="00221158">
      <w:pPr>
        <w:pStyle w:val="Paragraphedeliste"/>
        <w:numPr>
          <w:ilvl w:val="0"/>
          <w:numId w:val="28"/>
        </w:numPr>
      </w:pPr>
      <w:r>
        <w:t>Applications numériques du système d’information, y compris plateforme pédagogique : 114</w:t>
      </w:r>
    </w:p>
    <w:p w14:paraId="1293B987" w14:textId="77777777" w:rsidR="00221158" w:rsidRDefault="00221158" w:rsidP="00221158">
      <w:pPr>
        <w:pStyle w:val="Paragraphedeliste"/>
        <w:numPr>
          <w:ilvl w:val="0"/>
          <w:numId w:val="28"/>
        </w:numPr>
      </w:pPr>
      <w:r>
        <w:t>Sites de communications de la ferme TYPO3 : 57</w:t>
      </w:r>
    </w:p>
    <w:p w14:paraId="53400F56" w14:textId="31817244" w:rsidR="00221158" w:rsidRDefault="00221158" w:rsidP="00221158">
      <w:pPr>
        <w:pStyle w:val="Paragraphedeliste"/>
        <w:numPr>
          <w:ilvl w:val="0"/>
          <w:numId w:val="28"/>
        </w:numPr>
      </w:pPr>
      <w:r>
        <w:t>Blogs : 36</w:t>
      </w:r>
    </w:p>
    <w:p w14:paraId="4E09645B" w14:textId="5A39633E" w:rsidR="00221158" w:rsidRDefault="00221158" w:rsidP="00221158">
      <w:pPr>
        <w:pStyle w:val="Titre2"/>
      </w:pPr>
      <w:bookmarkStart w:id="27" w:name="_Annexe_2_-"/>
      <w:bookmarkStart w:id="28" w:name="_Toc103285673"/>
      <w:bookmarkEnd w:id="27"/>
      <w:r w:rsidRPr="00221158">
        <w:t>Annexe 2 - Liste des applications numériques retenues pour une mise en conformité</w:t>
      </w:r>
      <w:bookmarkEnd w:id="28"/>
    </w:p>
    <w:p w14:paraId="39A041FA" w14:textId="6FC87156" w:rsidR="00221158" w:rsidRDefault="00000000" w:rsidP="00221158">
      <w:pPr>
        <w:pStyle w:val="Paragraphedeliste"/>
        <w:numPr>
          <w:ilvl w:val="0"/>
          <w:numId w:val="29"/>
        </w:numPr>
      </w:pPr>
      <w:hyperlink r:id="rId18" w:history="1">
        <w:r w:rsidR="00221158" w:rsidRPr="00857E52">
          <w:rPr>
            <w:rStyle w:val="Lienhypertexte"/>
          </w:rPr>
          <w:t>https://www.univ-reunion.fr</w:t>
        </w:r>
      </w:hyperlink>
      <w:r w:rsidR="00221158">
        <w:t xml:space="preserve"> </w:t>
      </w:r>
    </w:p>
    <w:p w14:paraId="540FD8AE" w14:textId="21727544" w:rsidR="00221158" w:rsidRDefault="00000000" w:rsidP="00221158">
      <w:pPr>
        <w:pStyle w:val="Paragraphedeliste"/>
        <w:numPr>
          <w:ilvl w:val="0"/>
          <w:numId w:val="29"/>
        </w:numPr>
      </w:pPr>
      <w:hyperlink r:id="rId19" w:history="1">
        <w:r w:rsidR="00221158" w:rsidRPr="00857E52">
          <w:rPr>
            <w:rStyle w:val="Lienhypertexte"/>
          </w:rPr>
          <w:t>https://intranet.univ-reunion.fr</w:t>
        </w:r>
      </w:hyperlink>
      <w:r w:rsidR="00221158">
        <w:t xml:space="preserve"> </w:t>
      </w:r>
    </w:p>
    <w:p w14:paraId="7EF86246" w14:textId="795537CA" w:rsidR="00221158" w:rsidRDefault="00000000" w:rsidP="00221158">
      <w:pPr>
        <w:pStyle w:val="Paragraphedeliste"/>
        <w:numPr>
          <w:ilvl w:val="0"/>
          <w:numId w:val="29"/>
        </w:numPr>
      </w:pPr>
      <w:hyperlink r:id="rId20" w:history="1">
        <w:r w:rsidR="00221158" w:rsidRPr="00857E52">
          <w:rPr>
            <w:rStyle w:val="Lienhypertexte"/>
          </w:rPr>
          <w:t>https://bu.univ-reunion.fr</w:t>
        </w:r>
      </w:hyperlink>
      <w:r w:rsidR="00221158">
        <w:t xml:space="preserve">  </w:t>
      </w:r>
    </w:p>
    <w:p w14:paraId="19DF1A2F" w14:textId="6CEFC610" w:rsidR="00221158" w:rsidRDefault="00000000" w:rsidP="00221158">
      <w:pPr>
        <w:pStyle w:val="Paragraphedeliste"/>
        <w:numPr>
          <w:ilvl w:val="0"/>
          <w:numId w:val="29"/>
        </w:numPr>
      </w:pPr>
      <w:hyperlink r:id="rId21" w:history="1">
        <w:r w:rsidR="00221158" w:rsidRPr="00857E52">
          <w:rPr>
            <w:rStyle w:val="Lienhypertexte"/>
          </w:rPr>
          <w:t>http://formation.univ-reunion.fr</w:t>
        </w:r>
      </w:hyperlink>
      <w:r w:rsidR="00221158">
        <w:t xml:space="preserve">  </w:t>
      </w:r>
    </w:p>
    <w:p w14:paraId="1EFC2F34" w14:textId="63C86014" w:rsidR="00221158" w:rsidRDefault="00000000" w:rsidP="00221158">
      <w:pPr>
        <w:pStyle w:val="Paragraphedeliste"/>
        <w:numPr>
          <w:ilvl w:val="0"/>
          <w:numId w:val="29"/>
        </w:numPr>
      </w:pPr>
      <w:hyperlink r:id="rId22" w:history="1">
        <w:r w:rsidR="00221158" w:rsidRPr="00857E52">
          <w:rPr>
            <w:rStyle w:val="Lienhypertexte"/>
          </w:rPr>
          <w:t>https://candidature.univ-reunion.fr</w:t>
        </w:r>
      </w:hyperlink>
      <w:r w:rsidR="00221158">
        <w:t xml:space="preserve">  </w:t>
      </w:r>
    </w:p>
    <w:p w14:paraId="4BABA539" w14:textId="26D6422E" w:rsidR="00221158" w:rsidRDefault="00000000" w:rsidP="00221158">
      <w:pPr>
        <w:pStyle w:val="Paragraphedeliste"/>
        <w:numPr>
          <w:ilvl w:val="0"/>
          <w:numId w:val="29"/>
        </w:numPr>
      </w:pPr>
      <w:hyperlink r:id="rId23" w:history="1">
        <w:r w:rsidR="00221158" w:rsidRPr="00857E52">
          <w:rPr>
            <w:rStyle w:val="Lienhypertexte"/>
          </w:rPr>
          <w:t>https://emploidutemps.univ-reunion.fr</w:t>
        </w:r>
      </w:hyperlink>
      <w:r w:rsidR="00221158">
        <w:t xml:space="preserve">  </w:t>
      </w:r>
    </w:p>
    <w:p w14:paraId="12EE528D" w14:textId="77777777" w:rsidR="00221158" w:rsidRDefault="00221158" w:rsidP="00221158">
      <w:pPr>
        <w:pStyle w:val="Paragraphedeliste"/>
        <w:numPr>
          <w:ilvl w:val="0"/>
          <w:numId w:val="29"/>
        </w:numPr>
      </w:pPr>
      <w:r>
        <w:t xml:space="preserve">Les 7 plateformes Moodle (central, </w:t>
      </w:r>
      <w:proofErr w:type="spellStart"/>
      <w:r>
        <w:t>elang</w:t>
      </w:r>
      <w:proofErr w:type="spellEnd"/>
      <w:r>
        <w:t xml:space="preserve">, C2i, examen, UNR, </w:t>
      </w:r>
      <w:proofErr w:type="spellStart"/>
      <w:r>
        <w:t>suaps</w:t>
      </w:r>
      <w:proofErr w:type="spellEnd"/>
      <w:r>
        <w:t>, sante)</w:t>
      </w:r>
    </w:p>
    <w:p w14:paraId="66A12CF8" w14:textId="438F53EE" w:rsidR="00221158" w:rsidRDefault="00000000" w:rsidP="00221158">
      <w:pPr>
        <w:pStyle w:val="Paragraphedeliste"/>
        <w:numPr>
          <w:ilvl w:val="0"/>
          <w:numId w:val="29"/>
        </w:numPr>
      </w:pPr>
      <w:hyperlink r:id="rId24" w:history="1">
        <w:r w:rsidR="00221158" w:rsidRPr="00857E52">
          <w:rPr>
            <w:rStyle w:val="Lienhypertexte"/>
          </w:rPr>
          <w:t>https://ose.univ-reunion.fr</w:t>
        </w:r>
      </w:hyperlink>
      <w:r w:rsidR="00221158">
        <w:t xml:space="preserve"> </w:t>
      </w:r>
    </w:p>
    <w:p w14:paraId="0F3CE4E0" w14:textId="77777777" w:rsidR="00AB1676" w:rsidRDefault="00AB1676">
      <w:pPr>
        <w:spacing w:before="0" w:after="0"/>
        <w:rPr>
          <w:rFonts w:ascii="Playfair Display" w:eastAsiaTheme="majorEastAsia" w:hAnsi="Playfair Display" w:cstheme="majorBidi"/>
          <w:color w:val="006E96"/>
          <w:sz w:val="28"/>
          <w:szCs w:val="26"/>
        </w:rPr>
      </w:pPr>
      <w:r>
        <w:br w:type="page"/>
      </w:r>
    </w:p>
    <w:p w14:paraId="6C93AF0C" w14:textId="75426580" w:rsidR="00221158" w:rsidRDefault="00221158" w:rsidP="00221158">
      <w:pPr>
        <w:pStyle w:val="Titre2"/>
      </w:pPr>
      <w:bookmarkStart w:id="29" w:name="_Annexe_3_-"/>
      <w:bookmarkStart w:id="30" w:name="_Toc103285674"/>
      <w:bookmarkEnd w:id="29"/>
      <w:r w:rsidRPr="00221158">
        <w:lastRenderedPageBreak/>
        <w:t>Annexe 3 - Les formations</w:t>
      </w:r>
      <w:bookmarkEnd w:id="30"/>
    </w:p>
    <w:tbl>
      <w:tblPr>
        <w:tblW w:w="9071" w:type="dxa"/>
        <w:tblBorders>
          <w:top w:val="nil"/>
          <w:left w:val="nil"/>
          <w:bottom w:val="nil"/>
          <w:right w:val="nil"/>
          <w:insideH w:val="nil"/>
          <w:insideV w:val="nil"/>
        </w:tblBorders>
        <w:tblLayout w:type="fixed"/>
        <w:tblLook w:val="0600" w:firstRow="0" w:lastRow="0" w:firstColumn="0" w:lastColumn="0" w:noHBand="1" w:noVBand="1"/>
      </w:tblPr>
      <w:tblGrid>
        <w:gridCol w:w="1711"/>
        <w:gridCol w:w="1140"/>
        <w:gridCol w:w="2708"/>
        <w:gridCol w:w="1128"/>
        <w:gridCol w:w="1326"/>
        <w:gridCol w:w="1058"/>
      </w:tblGrid>
      <w:tr w:rsidR="00AB1676" w14:paraId="59897E98" w14:textId="77777777" w:rsidTr="00AB1676">
        <w:trPr>
          <w:trHeight w:val="1365"/>
          <w:tblHeader/>
        </w:trPr>
        <w:tc>
          <w:tcPr>
            <w:tcW w:w="1711" w:type="dxa"/>
            <w:tcBorders>
              <w:top w:val="single" w:sz="6" w:space="0" w:color="999999"/>
              <w:left w:val="single" w:sz="6" w:space="0" w:color="999999"/>
              <w:bottom w:val="single" w:sz="6" w:space="0" w:color="999999"/>
              <w:right w:val="single" w:sz="6" w:space="0" w:color="999999"/>
            </w:tcBorders>
            <w:tcMar>
              <w:top w:w="0" w:type="dxa"/>
              <w:left w:w="40" w:type="dxa"/>
              <w:bottom w:w="0" w:type="dxa"/>
              <w:right w:w="40" w:type="dxa"/>
            </w:tcMar>
            <w:vAlign w:val="center"/>
          </w:tcPr>
          <w:p w14:paraId="571296C0" w14:textId="77777777" w:rsidR="00AB1676" w:rsidRDefault="00AB1676" w:rsidP="009929BB">
            <w:pPr>
              <w:widowControl w:val="0"/>
              <w:spacing w:after="0" w:line="276" w:lineRule="auto"/>
              <w:jc w:val="center"/>
              <w:rPr>
                <w:rFonts w:ascii="Calibri" w:eastAsia="Calibri" w:hAnsi="Calibri" w:cs="Calibri"/>
                <w:szCs w:val="22"/>
              </w:rPr>
            </w:pPr>
            <w:proofErr w:type="gramStart"/>
            <w:r>
              <w:rPr>
                <w:rFonts w:ascii="Calibri" w:eastAsia="Calibri" w:hAnsi="Calibri" w:cs="Calibri"/>
                <w:b/>
                <w:szCs w:val="22"/>
              </w:rPr>
              <w:t>personnel</w:t>
            </w:r>
            <w:proofErr w:type="gramEnd"/>
            <w:r>
              <w:rPr>
                <w:rFonts w:ascii="Calibri" w:eastAsia="Calibri" w:hAnsi="Calibri" w:cs="Calibri"/>
                <w:b/>
                <w:szCs w:val="22"/>
              </w:rPr>
              <w:t xml:space="preserve"> SWAN / Budget établissement</w:t>
            </w:r>
          </w:p>
        </w:tc>
        <w:tc>
          <w:tcPr>
            <w:tcW w:w="1140" w:type="dxa"/>
            <w:tcBorders>
              <w:top w:val="single" w:sz="6" w:space="0" w:color="999999"/>
              <w:left w:val="single" w:sz="6" w:space="0" w:color="CCCCCC"/>
              <w:bottom w:val="single" w:sz="6" w:space="0" w:color="999999"/>
              <w:right w:val="single" w:sz="6" w:space="0" w:color="999999"/>
            </w:tcBorders>
            <w:tcMar>
              <w:top w:w="0" w:type="dxa"/>
              <w:left w:w="40" w:type="dxa"/>
              <w:bottom w:w="0" w:type="dxa"/>
              <w:right w:w="40" w:type="dxa"/>
            </w:tcMar>
            <w:vAlign w:val="center"/>
          </w:tcPr>
          <w:p w14:paraId="7F2E35F0"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Type de dépense</w:t>
            </w:r>
          </w:p>
        </w:tc>
        <w:tc>
          <w:tcPr>
            <w:tcW w:w="2708" w:type="dxa"/>
            <w:tcBorders>
              <w:top w:val="single" w:sz="6" w:space="0" w:color="999999"/>
              <w:left w:val="single" w:sz="6" w:space="0" w:color="CCCCCC"/>
              <w:bottom w:val="single" w:sz="6" w:space="0" w:color="999999"/>
              <w:right w:val="single" w:sz="6" w:space="0" w:color="999999"/>
            </w:tcBorders>
            <w:tcMar>
              <w:top w:w="0" w:type="dxa"/>
              <w:left w:w="40" w:type="dxa"/>
              <w:bottom w:w="0" w:type="dxa"/>
              <w:right w:w="40" w:type="dxa"/>
            </w:tcMar>
            <w:vAlign w:val="center"/>
          </w:tcPr>
          <w:p w14:paraId="2AD8317F"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Description</w:t>
            </w:r>
          </w:p>
        </w:tc>
        <w:tc>
          <w:tcPr>
            <w:tcW w:w="1128" w:type="dxa"/>
            <w:tcBorders>
              <w:top w:val="single" w:sz="6" w:space="0" w:color="999999"/>
              <w:left w:val="single" w:sz="6" w:space="0" w:color="CCCCCC"/>
              <w:bottom w:val="single" w:sz="6" w:space="0" w:color="999999"/>
              <w:right w:val="single" w:sz="6" w:space="0" w:color="999999"/>
            </w:tcBorders>
            <w:tcMar>
              <w:top w:w="0" w:type="dxa"/>
              <w:left w:w="40" w:type="dxa"/>
              <w:bottom w:w="0" w:type="dxa"/>
              <w:right w:w="40" w:type="dxa"/>
            </w:tcMar>
            <w:vAlign w:val="center"/>
          </w:tcPr>
          <w:p w14:paraId="42EFB1F9"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Quantité</w:t>
            </w:r>
          </w:p>
        </w:tc>
        <w:tc>
          <w:tcPr>
            <w:tcW w:w="1326" w:type="dxa"/>
            <w:tcBorders>
              <w:top w:val="single" w:sz="6" w:space="0" w:color="999999"/>
              <w:left w:val="single" w:sz="6" w:space="0" w:color="CCCCCC"/>
              <w:bottom w:val="single" w:sz="6" w:space="0" w:color="999999"/>
              <w:right w:val="single" w:sz="6" w:space="0" w:color="999999"/>
            </w:tcBorders>
            <w:tcMar>
              <w:top w:w="0" w:type="dxa"/>
              <w:left w:w="40" w:type="dxa"/>
              <w:bottom w:w="0" w:type="dxa"/>
              <w:right w:w="40" w:type="dxa"/>
            </w:tcMar>
            <w:vAlign w:val="center"/>
          </w:tcPr>
          <w:p w14:paraId="008B7953"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Coût TTC unitaire</w:t>
            </w:r>
          </w:p>
        </w:tc>
        <w:tc>
          <w:tcPr>
            <w:tcW w:w="1058" w:type="dxa"/>
            <w:tcBorders>
              <w:top w:val="single" w:sz="6" w:space="0" w:color="999999"/>
              <w:left w:val="single" w:sz="6" w:space="0" w:color="CCCCCC"/>
              <w:bottom w:val="single" w:sz="6" w:space="0" w:color="999999"/>
              <w:right w:val="single" w:sz="18" w:space="0" w:color="000000"/>
            </w:tcBorders>
            <w:tcMar>
              <w:top w:w="0" w:type="dxa"/>
              <w:left w:w="40" w:type="dxa"/>
              <w:bottom w:w="0" w:type="dxa"/>
              <w:right w:w="40" w:type="dxa"/>
            </w:tcMar>
            <w:vAlign w:val="center"/>
          </w:tcPr>
          <w:p w14:paraId="01BA0CCB"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Total TTC</w:t>
            </w:r>
          </w:p>
        </w:tc>
      </w:tr>
      <w:tr w:rsidR="00AB1676" w14:paraId="2D016295" w14:textId="77777777" w:rsidTr="00AB1676">
        <w:trPr>
          <w:trHeight w:val="825"/>
        </w:trPr>
        <w:tc>
          <w:tcPr>
            <w:tcW w:w="1711" w:type="dxa"/>
            <w:tcBorders>
              <w:top w:val="single" w:sz="6" w:space="0" w:color="CCCCCC"/>
              <w:left w:val="single" w:sz="6" w:space="0" w:color="999999"/>
              <w:bottom w:val="single" w:sz="6" w:space="0" w:color="999999"/>
              <w:right w:val="single" w:sz="6" w:space="0" w:color="999999"/>
            </w:tcBorders>
            <w:shd w:val="clear" w:color="auto" w:fill="FFFFFF"/>
            <w:tcMar>
              <w:top w:w="0" w:type="dxa"/>
              <w:left w:w="40" w:type="dxa"/>
              <w:bottom w:w="0" w:type="dxa"/>
              <w:right w:w="40" w:type="dxa"/>
            </w:tcMar>
            <w:vAlign w:val="bottom"/>
          </w:tcPr>
          <w:p w14:paraId="0ACA7110" w14:textId="77777777" w:rsidR="00AB1676" w:rsidRDefault="00AB1676"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140"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136023E5"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708"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6A4DBAB1"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Auto-formation : Conception pédagogique d'une formation en ligne</w:t>
            </w:r>
          </w:p>
        </w:tc>
        <w:tc>
          <w:tcPr>
            <w:tcW w:w="1128"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43000279"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w:t>
            </w:r>
          </w:p>
        </w:tc>
        <w:tc>
          <w:tcPr>
            <w:tcW w:w="1326"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726BC48E"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5 208,00 €</w:t>
            </w:r>
          </w:p>
        </w:tc>
        <w:tc>
          <w:tcPr>
            <w:tcW w:w="1058"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2B606B4E"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5 208,00 €</w:t>
            </w:r>
          </w:p>
        </w:tc>
      </w:tr>
      <w:tr w:rsidR="00AB1676" w14:paraId="66E5A9C1" w14:textId="77777777" w:rsidTr="00AB1676">
        <w:trPr>
          <w:trHeight w:val="555"/>
        </w:trPr>
        <w:tc>
          <w:tcPr>
            <w:tcW w:w="1711" w:type="dxa"/>
            <w:tcBorders>
              <w:top w:val="single" w:sz="6" w:space="0" w:color="CCCCCC"/>
              <w:left w:val="single" w:sz="6" w:space="0" w:color="999999"/>
              <w:bottom w:val="single" w:sz="6" w:space="0" w:color="999999"/>
              <w:right w:val="single" w:sz="6" w:space="0" w:color="999999"/>
            </w:tcBorders>
            <w:shd w:val="clear" w:color="auto" w:fill="FFFFFF"/>
            <w:tcMar>
              <w:top w:w="0" w:type="dxa"/>
              <w:left w:w="40" w:type="dxa"/>
              <w:bottom w:w="0" w:type="dxa"/>
              <w:right w:w="40" w:type="dxa"/>
            </w:tcMar>
            <w:vAlign w:val="bottom"/>
          </w:tcPr>
          <w:p w14:paraId="292FC067" w14:textId="77777777" w:rsidR="00AB1676" w:rsidRDefault="00AB1676"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140"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27F4F3D4"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708"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7B3ADFA2"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 Moodle accessible - 3 jours</w:t>
            </w:r>
          </w:p>
        </w:tc>
        <w:tc>
          <w:tcPr>
            <w:tcW w:w="1128"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1CA23EF8"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w:t>
            </w:r>
          </w:p>
        </w:tc>
        <w:tc>
          <w:tcPr>
            <w:tcW w:w="1326"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17565FFA"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4 068,75 €</w:t>
            </w:r>
          </w:p>
        </w:tc>
        <w:tc>
          <w:tcPr>
            <w:tcW w:w="1058" w:type="dxa"/>
            <w:tcBorders>
              <w:top w:val="single" w:sz="6" w:space="0" w:color="CCCCCC"/>
              <w:left w:val="single" w:sz="6" w:space="0" w:color="CCCCCC"/>
              <w:bottom w:val="single" w:sz="6" w:space="0" w:color="999999"/>
              <w:right w:val="single" w:sz="18" w:space="0" w:color="000000"/>
            </w:tcBorders>
            <w:shd w:val="clear" w:color="auto" w:fill="FFFFFF"/>
            <w:tcMar>
              <w:top w:w="0" w:type="dxa"/>
              <w:left w:w="40" w:type="dxa"/>
              <w:bottom w:w="0" w:type="dxa"/>
              <w:right w:w="40" w:type="dxa"/>
            </w:tcMar>
            <w:vAlign w:val="center"/>
          </w:tcPr>
          <w:p w14:paraId="67ACAFEB"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8 476,56 €</w:t>
            </w:r>
          </w:p>
        </w:tc>
      </w:tr>
      <w:tr w:rsidR="00AB1676" w14:paraId="1BFB4C26" w14:textId="77777777" w:rsidTr="00AB1676">
        <w:trPr>
          <w:trHeight w:val="555"/>
        </w:trPr>
        <w:tc>
          <w:tcPr>
            <w:tcW w:w="1711" w:type="dxa"/>
            <w:tcBorders>
              <w:top w:val="single" w:sz="6" w:space="0" w:color="CCCCCC"/>
              <w:left w:val="single" w:sz="6" w:space="0" w:color="999999"/>
              <w:bottom w:val="single" w:sz="6" w:space="0" w:color="999999"/>
              <w:right w:val="single" w:sz="6" w:space="0" w:color="999999"/>
            </w:tcBorders>
            <w:shd w:val="clear" w:color="auto" w:fill="FFFFFF"/>
            <w:tcMar>
              <w:top w:w="0" w:type="dxa"/>
              <w:left w:w="40" w:type="dxa"/>
              <w:bottom w:w="0" w:type="dxa"/>
              <w:right w:w="40" w:type="dxa"/>
            </w:tcMar>
            <w:vAlign w:val="bottom"/>
          </w:tcPr>
          <w:p w14:paraId="13AE33B9" w14:textId="77777777" w:rsidR="00AB1676" w:rsidRDefault="00AB1676"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140"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1D02F52F"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708"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1584CFAA"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 niveau 3 (dev technique) - 2 jours</w:t>
            </w:r>
          </w:p>
        </w:tc>
        <w:tc>
          <w:tcPr>
            <w:tcW w:w="1128"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231F5A17"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w:t>
            </w:r>
          </w:p>
        </w:tc>
        <w:tc>
          <w:tcPr>
            <w:tcW w:w="1326"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04CFFA14"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2 712,50 €</w:t>
            </w:r>
          </w:p>
        </w:tc>
        <w:tc>
          <w:tcPr>
            <w:tcW w:w="1058" w:type="dxa"/>
            <w:tcBorders>
              <w:top w:val="single" w:sz="6" w:space="0" w:color="CCCCCC"/>
              <w:left w:val="single" w:sz="6" w:space="0" w:color="CCCCCC"/>
              <w:bottom w:val="single" w:sz="6" w:space="0" w:color="999999"/>
              <w:right w:val="single" w:sz="18" w:space="0" w:color="000000"/>
            </w:tcBorders>
            <w:shd w:val="clear" w:color="auto" w:fill="FFFFFF"/>
            <w:tcMar>
              <w:top w:w="0" w:type="dxa"/>
              <w:left w:w="40" w:type="dxa"/>
              <w:bottom w:w="0" w:type="dxa"/>
              <w:right w:w="40" w:type="dxa"/>
            </w:tcMar>
            <w:vAlign w:val="center"/>
          </w:tcPr>
          <w:p w14:paraId="39B97CF3"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2 260,42 €</w:t>
            </w:r>
          </w:p>
        </w:tc>
      </w:tr>
      <w:tr w:rsidR="00AB1676" w14:paraId="629508B9" w14:textId="77777777" w:rsidTr="00AB1676">
        <w:trPr>
          <w:trHeight w:val="1095"/>
        </w:trPr>
        <w:tc>
          <w:tcPr>
            <w:tcW w:w="1711" w:type="dxa"/>
            <w:tcBorders>
              <w:top w:val="single" w:sz="6" w:space="0" w:color="CCCCCC"/>
              <w:left w:val="single" w:sz="6" w:space="0" w:color="999999"/>
              <w:bottom w:val="single" w:sz="6" w:space="0" w:color="999999"/>
              <w:right w:val="single" w:sz="6" w:space="0" w:color="999999"/>
            </w:tcBorders>
            <w:shd w:val="clear" w:color="auto" w:fill="FFFFFF"/>
            <w:tcMar>
              <w:top w:w="0" w:type="dxa"/>
              <w:left w:w="40" w:type="dxa"/>
              <w:bottom w:w="0" w:type="dxa"/>
              <w:right w:w="40" w:type="dxa"/>
            </w:tcMar>
            <w:vAlign w:val="bottom"/>
          </w:tcPr>
          <w:p w14:paraId="12A5076D"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140"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601AAE39"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708"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7A9AA170"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Auto-formation : Conception et production de cours en ligne pour auto-formation et mise à disposition de ressources</w:t>
            </w:r>
          </w:p>
        </w:tc>
        <w:tc>
          <w:tcPr>
            <w:tcW w:w="1128"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193032A3"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w:t>
            </w:r>
          </w:p>
        </w:tc>
        <w:tc>
          <w:tcPr>
            <w:tcW w:w="1326"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69134EE2"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6 790,00 €</w:t>
            </w:r>
          </w:p>
        </w:tc>
        <w:tc>
          <w:tcPr>
            <w:tcW w:w="1058"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24C632BB"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6 790,00 €</w:t>
            </w:r>
          </w:p>
        </w:tc>
      </w:tr>
      <w:tr w:rsidR="00AB1676" w14:paraId="6C529FB9" w14:textId="77777777" w:rsidTr="00AB1676">
        <w:trPr>
          <w:trHeight w:val="555"/>
        </w:trPr>
        <w:tc>
          <w:tcPr>
            <w:tcW w:w="1711"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0A7C846A"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140"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65F09CDD"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708"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5ABEB9A1"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 niveau 1 contrib - 0,5 j.</w:t>
            </w:r>
          </w:p>
        </w:tc>
        <w:tc>
          <w:tcPr>
            <w:tcW w:w="1128"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61E42C2E"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5</w:t>
            </w:r>
          </w:p>
        </w:tc>
        <w:tc>
          <w:tcPr>
            <w:tcW w:w="1326"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097FC09F"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358,75 €</w:t>
            </w:r>
          </w:p>
        </w:tc>
        <w:tc>
          <w:tcPr>
            <w:tcW w:w="1058"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050D5A6C"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1 793,75 €</w:t>
            </w:r>
          </w:p>
        </w:tc>
      </w:tr>
      <w:tr w:rsidR="00AB1676" w14:paraId="0A4782D5" w14:textId="77777777" w:rsidTr="00AB1676">
        <w:trPr>
          <w:trHeight w:val="555"/>
        </w:trPr>
        <w:tc>
          <w:tcPr>
            <w:tcW w:w="1711"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38C668C7"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140"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2EAE7BC7"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708"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76CF40D4"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 niveau 2 contrib - 1 j.</w:t>
            </w:r>
          </w:p>
        </w:tc>
        <w:tc>
          <w:tcPr>
            <w:tcW w:w="1128"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07F7066C"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12</w:t>
            </w:r>
          </w:p>
        </w:tc>
        <w:tc>
          <w:tcPr>
            <w:tcW w:w="1326"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2ABE0506"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577,50 €</w:t>
            </w:r>
          </w:p>
        </w:tc>
        <w:tc>
          <w:tcPr>
            <w:tcW w:w="1058"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56D37BF6"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6 930,00 €</w:t>
            </w:r>
          </w:p>
        </w:tc>
      </w:tr>
      <w:tr w:rsidR="00AB1676" w14:paraId="4B7064B6" w14:textId="77777777" w:rsidTr="00AB1676">
        <w:trPr>
          <w:trHeight w:val="285"/>
        </w:trPr>
        <w:tc>
          <w:tcPr>
            <w:tcW w:w="1711"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7472DF85"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140"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75F5EFB8"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708"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76FA502A"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Sensibilisation interne</w:t>
            </w:r>
          </w:p>
        </w:tc>
        <w:tc>
          <w:tcPr>
            <w:tcW w:w="1128"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7BE251DE"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4</w:t>
            </w:r>
          </w:p>
        </w:tc>
        <w:tc>
          <w:tcPr>
            <w:tcW w:w="1326"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346BA02B"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293,13 €</w:t>
            </w:r>
          </w:p>
        </w:tc>
        <w:tc>
          <w:tcPr>
            <w:tcW w:w="1058"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1FEC6877" w14:textId="77777777" w:rsidR="00AB1676" w:rsidRDefault="00AB1676"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1 221,35 €</w:t>
            </w:r>
          </w:p>
        </w:tc>
      </w:tr>
    </w:tbl>
    <w:p w14:paraId="2864AD15" w14:textId="77777777" w:rsidR="00AB1676" w:rsidRDefault="00AB1676" w:rsidP="00AB1676">
      <w:pPr>
        <w:rPr>
          <w:b/>
        </w:rPr>
      </w:pPr>
      <w:r>
        <w:t xml:space="preserve">Total établissement (arrondi) : </w:t>
      </w:r>
      <w:r>
        <w:rPr>
          <w:b/>
        </w:rPr>
        <w:t>15 945 €</w:t>
      </w:r>
    </w:p>
    <w:p w14:paraId="3950CCB4" w14:textId="77777777" w:rsidR="00AB1676" w:rsidRDefault="00AB1676" w:rsidP="00AB1676">
      <w:pPr>
        <w:rPr>
          <w:b/>
        </w:rPr>
      </w:pPr>
      <w:r>
        <w:t xml:space="preserve">Total Swan (arrondi) : </w:t>
      </w:r>
      <w:r>
        <w:rPr>
          <w:b/>
        </w:rPr>
        <w:t>16 735 €</w:t>
      </w:r>
    </w:p>
    <w:p w14:paraId="6BC9F991" w14:textId="77777777" w:rsidR="00AB1676" w:rsidRDefault="00AB1676" w:rsidP="00AB1676">
      <w:r>
        <w:t xml:space="preserve">Budget établissement (prestations externes, selon les années : </w:t>
      </w:r>
    </w:p>
    <w:tbl>
      <w:tblPr>
        <w:tblW w:w="2220" w:type="dxa"/>
        <w:tblBorders>
          <w:top w:val="nil"/>
          <w:left w:val="nil"/>
          <w:bottom w:val="nil"/>
          <w:right w:val="nil"/>
          <w:insideH w:val="nil"/>
          <w:insideV w:val="nil"/>
        </w:tblBorders>
        <w:tblLayout w:type="fixed"/>
        <w:tblLook w:val="0600" w:firstRow="0" w:lastRow="0" w:firstColumn="0" w:lastColumn="0" w:noHBand="1" w:noVBand="1"/>
      </w:tblPr>
      <w:tblGrid>
        <w:gridCol w:w="1110"/>
        <w:gridCol w:w="1110"/>
      </w:tblGrid>
      <w:tr w:rsidR="00AB1676" w14:paraId="6CC93BBB" w14:textId="77777777" w:rsidTr="009929BB">
        <w:trPr>
          <w:trHeight w:val="285"/>
        </w:trPr>
        <w:tc>
          <w:tcPr>
            <w:tcW w:w="11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782A42"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Année 1</w:t>
            </w:r>
          </w:p>
        </w:tc>
        <w:tc>
          <w:tcPr>
            <w:tcW w:w="11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2FA061D"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5 262 €</w:t>
            </w:r>
          </w:p>
        </w:tc>
      </w:tr>
      <w:tr w:rsidR="00AB1676" w14:paraId="6BC4CA44" w14:textId="77777777" w:rsidTr="009929BB">
        <w:trPr>
          <w:trHeight w:val="285"/>
        </w:trPr>
        <w:tc>
          <w:tcPr>
            <w:tcW w:w="11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0573C9"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Année 2</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37D3CB"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5 262 €</w:t>
            </w:r>
          </w:p>
        </w:tc>
      </w:tr>
      <w:tr w:rsidR="00AB1676" w14:paraId="6AF58DBC" w14:textId="77777777" w:rsidTr="009929BB">
        <w:trPr>
          <w:trHeight w:val="285"/>
        </w:trPr>
        <w:tc>
          <w:tcPr>
            <w:tcW w:w="111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7908364" w14:textId="77777777" w:rsidR="00AB1676" w:rsidRDefault="00AB1676" w:rsidP="009929BB">
            <w:pPr>
              <w:widowControl w:val="0"/>
              <w:spacing w:after="0" w:line="276" w:lineRule="auto"/>
              <w:rPr>
                <w:rFonts w:ascii="Calibri" w:eastAsia="Calibri" w:hAnsi="Calibri" w:cs="Calibri"/>
                <w:szCs w:val="22"/>
              </w:rPr>
            </w:pPr>
            <w:r>
              <w:rPr>
                <w:rFonts w:ascii="Calibri" w:eastAsia="Calibri" w:hAnsi="Calibri" w:cs="Calibri"/>
                <w:szCs w:val="22"/>
              </w:rPr>
              <w:t>Année 3</w:t>
            </w:r>
          </w:p>
        </w:tc>
        <w:tc>
          <w:tcPr>
            <w:tcW w:w="11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0D9AB8" w14:textId="77777777" w:rsidR="00AB1676" w:rsidRDefault="00AB1676" w:rsidP="009929BB">
            <w:pPr>
              <w:widowControl w:val="0"/>
              <w:spacing w:after="0" w:line="276" w:lineRule="auto"/>
              <w:jc w:val="right"/>
              <w:rPr>
                <w:rFonts w:ascii="Calibri" w:eastAsia="Calibri" w:hAnsi="Calibri" w:cs="Calibri"/>
                <w:szCs w:val="22"/>
              </w:rPr>
            </w:pPr>
            <w:r>
              <w:rPr>
                <w:rFonts w:ascii="Calibri" w:eastAsia="Calibri" w:hAnsi="Calibri" w:cs="Calibri"/>
                <w:szCs w:val="22"/>
              </w:rPr>
              <w:t>5 421 €</w:t>
            </w:r>
          </w:p>
        </w:tc>
      </w:tr>
    </w:tbl>
    <w:p w14:paraId="5BD6685E" w14:textId="77777777" w:rsidR="00280F6C" w:rsidRDefault="00280F6C" w:rsidP="00704A63"/>
    <w:p w14:paraId="711C7C03" w14:textId="77777777" w:rsidR="00280F6C" w:rsidRDefault="00280F6C">
      <w:pPr>
        <w:spacing w:before="0" w:after="0"/>
        <w:rPr>
          <w:rFonts w:ascii="Playfair Display" w:eastAsiaTheme="majorEastAsia" w:hAnsi="Playfair Display" w:cstheme="majorBidi"/>
          <w:color w:val="006E96"/>
          <w:sz w:val="28"/>
          <w:szCs w:val="26"/>
        </w:rPr>
      </w:pPr>
      <w:r>
        <w:br w:type="page"/>
      </w:r>
    </w:p>
    <w:p w14:paraId="3DF7575E" w14:textId="4B6EB4D7" w:rsidR="00221158" w:rsidRDefault="00AB1676" w:rsidP="00AB1676">
      <w:pPr>
        <w:pStyle w:val="Titre2"/>
      </w:pPr>
      <w:bookmarkStart w:id="31" w:name="_Annexe_4_-"/>
      <w:bookmarkStart w:id="32" w:name="_Toc103285675"/>
      <w:bookmarkEnd w:id="31"/>
      <w:r w:rsidRPr="00AB1676">
        <w:lastRenderedPageBreak/>
        <w:t>Annexe 4 - Schéma Directeur du handicap</w:t>
      </w:r>
      <w:bookmarkEnd w:id="32"/>
    </w:p>
    <w:tbl>
      <w:tblPr>
        <w:tblW w:w="6630" w:type="dxa"/>
        <w:tblBorders>
          <w:top w:val="nil"/>
          <w:left w:val="nil"/>
          <w:bottom w:val="nil"/>
          <w:right w:val="nil"/>
          <w:insideH w:val="nil"/>
          <w:insideV w:val="nil"/>
        </w:tblBorders>
        <w:tblLayout w:type="fixed"/>
        <w:tblLook w:val="0600" w:firstRow="0" w:lastRow="0" w:firstColumn="0" w:lastColumn="0" w:noHBand="1" w:noVBand="1"/>
      </w:tblPr>
      <w:tblGrid>
        <w:gridCol w:w="2235"/>
        <w:gridCol w:w="1800"/>
        <w:gridCol w:w="2595"/>
      </w:tblGrid>
      <w:tr w:rsidR="00280F6C" w14:paraId="326E49EF" w14:textId="77777777" w:rsidTr="009929BB">
        <w:trPr>
          <w:trHeight w:val="315"/>
          <w:tblHeader/>
        </w:trPr>
        <w:tc>
          <w:tcPr>
            <w:tcW w:w="22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25A369" w14:textId="77777777" w:rsidR="00280F6C" w:rsidRDefault="00280F6C" w:rsidP="009929BB">
            <w:pPr>
              <w:widowControl w:val="0"/>
              <w:spacing w:after="0" w:line="276" w:lineRule="auto"/>
              <w:rPr>
                <w:rFonts w:ascii="Arial" w:eastAsia="Arial" w:hAnsi="Arial" w:cs="Arial"/>
                <w:sz w:val="20"/>
                <w:szCs w:val="20"/>
              </w:rPr>
            </w:pPr>
            <w:r>
              <w:rPr>
                <w:rFonts w:ascii="Arial" w:eastAsia="Arial" w:hAnsi="Arial" w:cs="Arial"/>
                <w:b/>
                <w:sz w:val="20"/>
                <w:szCs w:val="20"/>
              </w:rPr>
              <w:t>Action</w:t>
            </w:r>
          </w:p>
        </w:tc>
        <w:tc>
          <w:tcPr>
            <w:tcW w:w="18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34FAE8DC" w14:textId="77777777" w:rsidR="00280F6C" w:rsidRDefault="00280F6C" w:rsidP="009929BB">
            <w:pPr>
              <w:widowControl w:val="0"/>
              <w:spacing w:after="0" w:line="276" w:lineRule="auto"/>
              <w:rPr>
                <w:rFonts w:ascii="Arial" w:eastAsia="Arial" w:hAnsi="Arial" w:cs="Arial"/>
                <w:sz w:val="20"/>
                <w:szCs w:val="20"/>
              </w:rPr>
            </w:pPr>
            <w:r>
              <w:rPr>
                <w:rFonts w:ascii="Arial" w:eastAsia="Arial" w:hAnsi="Arial" w:cs="Arial"/>
                <w:b/>
                <w:sz w:val="20"/>
                <w:szCs w:val="20"/>
              </w:rPr>
              <w:t>Fiche action</w:t>
            </w:r>
          </w:p>
        </w:tc>
        <w:tc>
          <w:tcPr>
            <w:tcW w:w="259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18C40130" w14:textId="77777777" w:rsidR="00280F6C" w:rsidRDefault="00280F6C" w:rsidP="009929BB">
            <w:pPr>
              <w:widowControl w:val="0"/>
              <w:spacing w:after="0" w:line="276" w:lineRule="auto"/>
              <w:rPr>
                <w:rFonts w:ascii="Arial" w:eastAsia="Arial" w:hAnsi="Arial" w:cs="Arial"/>
                <w:sz w:val="20"/>
                <w:szCs w:val="20"/>
              </w:rPr>
            </w:pPr>
            <w:r>
              <w:rPr>
                <w:rFonts w:ascii="Arial" w:eastAsia="Arial" w:hAnsi="Arial" w:cs="Arial"/>
                <w:b/>
                <w:sz w:val="20"/>
                <w:szCs w:val="20"/>
              </w:rPr>
              <w:t>Objectif</w:t>
            </w:r>
          </w:p>
        </w:tc>
      </w:tr>
      <w:tr w:rsidR="00280F6C" w14:paraId="10574939" w14:textId="77777777" w:rsidTr="009929BB">
        <w:trPr>
          <w:trHeight w:val="1170"/>
        </w:trPr>
        <w:tc>
          <w:tcPr>
            <w:tcW w:w="2235" w:type="dxa"/>
            <w:tcBorders>
              <w:top w:val="single" w:sz="6" w:space="0" w:color="CCCCCC"/>
              <w:left w:val="single" w:sz="12" w:space="0" w:color="8EAADB"/>
              <w:bottom w:val="single" w:sz="12" w:space="0" w:color="8EAADB"/>
              <w:right w:val="single" w:sz="12" w:space="0" w:color="8EAADB"/>
            </w:tcBorders>
            <w:shd w:val="clear" w:color="auto" w:fill="FFFFFF"/>
            <w:tcMar>
              <w:top w:w="40" w:type="dxa"/>
              <w:left w:w="40" w:type="dxa"/>
              <w:bottom w:w="40" w:type="dxa"/>
              <w:right w:w="40" w:type="dxa"/>
            </w:tcMar>
            <w:vAlign w:val="center"/>
          </w:tcPr>
          <w:p w14:paraId="4C1711D7"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Élaboration du Schéma Pluriannuel d'Accessibilité</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C1451E7"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Fiche action n°1</w:t>
            </w:r>
          </w:p>
        </w:tc>
        <w:tc>
          <w:tcPr>
            <w:tcW w:w="25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296DADE"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Document stratégique de l'UR adossé au SDH</w:t>
            </w:r>
          </w:p>
        </w:tc>
      </w:tr>
      <w:tr w:rsidR="00280F6C" w14:paraId="1C2DB4F5" w14:textId="77777777" w:rsidTr="009929BB">
        <w:trPr>
          <w:trHeight w:val="900"/>
        </w:trPr>
        <w:tc>
          <w:tcPr>
            <w:tcW w:w="22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FA0C99F"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Refonte des sites web de l'UR</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663E89F"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Fiche action n°2</w:t>
            </w:r>
          </w:p>
        </w:tc>
        <w:tc>
          <w:tcPr>
            <w:tcW w:w="25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1E0125F"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Conformité RGAA</w:t>
            </w:r>
          </w:p>
        </w:tc>
      </w:tr>
      <w:tr w:rsidR="00280F6C" w14:paraId="441FC8B9" w14:textId="77777777" w:rsidTr="009929BB">
        <w:trPr>
          <w:trHeight w:val="1425"/>
        </w:trPr>
        <w:tc>
          <w:tcPr>
            <w:tcW w:w="22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083EACE"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Sensibiliser et informer</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FD3A577"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Fiche action n°3</w:t>
            </w:r>
          </w:p>
        </w:tc>
        <w:tc>
          <w:tcPr>
            <w:tcW w:w="25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57FD51E"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Faire de l'accessibilité numérique un réflexe pour tous</w:t>
            </w:r>
          </w:p>
        </w:tc>
      </w:tr>
      <w:tr w:rsidR="00280F6C" w14:paraId="010A8F01" w14:textId="77777777" w:rsidTr="009929BB">
        <w:trPr>
          <w:trHeight w:val="1155"/>
        </w:trPr>
        <w:tc>
          <w:tcPr>
            <w:tcW w:w="22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2643F8B"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Former les acteurs du numérique de l'UR</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AE68546"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Fiche action n°4</w:t>
            </w:r>
          </w:p>
        </w:tc>
        <w:tc>
          <w:tcPr>
            <w:tcW w:w="25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89396BC" w14:textId="77777777" w:rsidR="00280F6C" w:rsidRDefault="00280F6C" w:rsidP="009929BB">
            <w:pPr>
              <w:widowControl w:val="0"/>
              <w:spacing w:after="0" w:line="276" w:lineRule="auto"/>
              <w:rPr>
                <w:rFonts w:ascii="Arial" w:eastAsia="Arial" w:hAnsi="Arial" w:cs="Arial"/>
                <w:sz w:val="20"/>
                <w:szCs w:val="20"/>
              </w:rPr>
            </w:pPr>
            <w:r>
              <w:rPr>
                <w:rFonts w:ascii="Calibri" w:eastAsia="Calibri" w:hAnsi="Calibri" w:cs="Calibri"/>
                <w:szCs w:val="22"/>
              </w:rPr>
              <w:t>Montée en compétence et bonnes pratiques</w:t>
            </w:r>
          </w:p>
        </w:tc>
      </w:tr>
    </w:tbl>
    <w:p w14:paraId="30137872" w14:textId="77777777" w:rsidR="00280F6C" w:rsidRDefault="00280F6C" w:rsidP="00704A63"/>
    <w:p w14:paraId="0D5FF9A4" w14:textId="77777777" w:rsidR="00280F6C" w:rsidRDefault="00280F6C">
      <w:pPr>
        <w:spacing w:before="0" w:after="0"/>
        <w:rPr>
          <w:rFonts w:ascii="Playfair Display" w:eastAsiaTheme="majorEastAsia" w:hAnsi="Playfair Display" w:cstheme="majorBidi"/>
          <w:color w:val="006E96"/>
          <w:sz w:val="28"/>
          <w:szCs w:val="26"/>
        </w:rPr>
      </w:pPr>
      <w:r>
        <w:br w:type="page"/>
      </w:r>
    </w:p>
    <w:p w14:paraId="3DDDB281" w14:textId="35F8CD70" w:rsidR="00280F6C" w:rsidRDefault="00280F6C" w:rsidP="00280F6C">
      <w:pPr>
        <w:pStyle w:val="Titre2"/>
      </w:pPr>
      <w:bookmarkStart w:id="33" w:name="_Annexe_5_-"/>
      <w:bookmarkStart w:id="34" w:name="_Toc103285676"/>
      <w:bookmarkEnd w:id="33"/>
      <w:r w:rsidRPr="00280F6C">
        <w:lastRenderedPageBreak/>
        <w:t>Annexe 5 - Détail budgétaire</w:t>
      </w:r>
      <w:bookmarkEnd w:id="34"/>
    </w:p>
    <w:p w14:paraId="78FE7C4D" w14:textId="77777777" w:rsidR="00280F6C" w:rsidRDefault="00280F6C" w:rsidP="00280F6C">
      <w:r>
        <w:t>Description du tableau :</w:t>
      </w:r>
    </w:p>
    <w:p w14:paraId="55F3847E" w14:textId="77777777" w:rsidR="00280F6C" w:rsidRDefault="00280F6C" w:rsidP="00280F6C">
      <w:pPr>
        <w:pStyle w:val="Paragraphedeliste"/>
        <w:numPr>
          <w:ilvl w:val="0"/>
          <w:numId w:val="30"/>
        </w:numPr>
      </w:pPr>
      <w:r>
        <w:t>Personnel SWAN / Budget établissement</w:t>
      </w:r>
    </w:p>
    <w:p w14:paraId="7A2EAC9D" w14:textId="77777777" w:rsidR="00280F6C" w:rsidRDefault="00280F6C" w:rsidP="00280F6C">
      <w:pPr>
        <w:pStyle w:val="Paragraphedeliste"/>
        <w:numPr>
          <w:ilvl w:val="1"/>
          <w:numId w:val="30"/>
        </w:numPr>
      </w:pPr>
      <w:r>
        <w:t>Personnel SWAN : prestation interne assurée par les personnels du SWAN</w:t>
      </w:r>
    </w:p>
    <w:p w14:paraId="6BA0F0E1" w14:textId="77777777" w:rsidR="00280F6C" w:rsidRDefault="00280F6C" w:rsidP="00280F6C">
      <w:pPr>
        <w:pStyle w:val="Paragraphedeliste"/>
        <w:numPr>
          <w:ilvl w:val="1"/>
          <w:numId w:val="30"/>
        </w:numPr>
      </w:pPr>
      <w:r>
        <w:t>Budget établissement : prestation externe assurées par des prestataires sur budget établissement.</w:t>
      </w:r>
    </w:p>
    <w:p w14:paraId="1845CCAB" w14:textId="77777777" w:rsidR="00280F6C" w:rsidRDefault="00280F6C" w:rsidP="00280F6C">
      <w:pPr>
        <w:pStyle w:val="Paragraphedeliste"/>
        <w:numPr>
          <w:ilvl w:val="0"/>
          <w:numId w:val="30"/>
        </w:numPr>
      </w:pPr>
      <w:r>
        <w:t>Type de dépense : ce à quoi vont être consacrées les actions</w:t>
      </w:r>
    </w:p>
    <w:p w14:paraId="48C9895F" w14:textId="77777777" w:rsidR="00280F6C" w:rsidRDefault="00280F6C" w:rsidP="00280F6C">
      <w:pPr>
        <w:pStyle w:val="Paragraphedeliste"/>
        <w:numPr>
          <w:ilvl w:val="0"/>
          <w:numId w:val="30"/>
        </w:numPr>
      </w:pPr>
      <w:r>
        <w:t>Description : détail des actions</w:t>
      </w:r>
    </w:p>
    <w:p w14:paraId="76A7E5C3" w14:textId="77777777" w:rsidR="00280F6C" w:rsidRDefault="00280F6C" w:rsidP="00280F6C">
      <w:pPr>
        <w:pStyle w:val="Paragraphedeliste"/>
        <w:numPr>
          <w:ilvl w:val="0"/>
          <w:numId w:val="30"/>
        </w:numPr>
      </w:pPr>
      <w:r>
        <w:t>Quantité : nombre d’action prévue sur une année</w:t>
      </w:r>
    </w:p>
    <w:p w14:paraId="22266B65" w14:textId="77777777" w:rsidR="00280F6C" w:rsidRDefault="00280F6C" w:rsidP="00280F6C">
      <w:pPr>
        <w:pStyle w:val="Paragraphedeliste"/>
        <w:numPr>
          <w:ilvl w:val="0"/>
          <w:numId w:val="30"/>
        </w:numPr>
      </w:pPr>
      <w:r>
        <w:t>Coût unitaire : coût sur une année</w:t>
      </w:r>
    </w:p>
    <w:p w14:paraId="24EE18C2" w14:textId="36F2B76A" w:rsidR="00280F6C" w:rsidRPr="00280F6C" w:rsidRDefault="00280F6C" w:rsidP="00280F6C">
      <w:pPr>
        <w:pStyle w:val="Paragraphedeliste"/>
        <w:numPr>
          <w:ilvl w:val="0"/>
          <w:numId w:val="30"/>
        </w:numPr>
      </w:pPr>
      <w:r>
        <w:t>Total TTC : coût sur 3 ans.</w:t>
      </w:r>
    </w:p>
    <w:tbl>
      <w:tblPr>
        <w:tblW w:w="9064" w:type="dxa"/>
        <w:tblBorders>
          <w:top w:val="nil"/>
          <w:left w:val="nil"/>
          <w:bottom w:val="nil"/>
          <w:right w:val="nil"/>
          <w:insideH w:val="nil"/>
          <w:insideV w:val="nil"/>
        </w:tblBorders>
        <w:tblLayout w:type="fixed"/>
        <w:tblLook w:val="0600" w:firstRow="0" w:lastRow="0" w:firstColumn="0" w:lastColumn="0" w:noHBand="1" w:noVBand="1"/>
      </w:tblPr>
      <w:tblGrid>
        <w:gridCol w:w="1441"/>
        <w:gridCol w:w="1395"/>
        <w:gridCol w:w="2445"/>
        <w:gridCol w:w="1073"/>
        <w:gridCol w:w="1261"/>
        <w:gridCol w:w="1449"/>
      </w:tblGrid>
      <w:tr w:rsidR="00280F6C" w14:paraId="35462288" w14:textId="77777777" w:rsidTr="009929BB">
        <w:trPr>
          <w:trHeight w:val="1365"/>
          <w:tblHeader/>
        </w:trPr>
        <w:tc>
          <w:tcPr>
            <w:tcW w:w="1440" w:type="dxa"/>
            <w:tcBorders>
              <w:top w:val="single" w:sz="6" w:space="0" w:color="999999"/>
              <w:left w:val="single" w:sz="6" w:space="0" w:color="999999"/>
              <w:bottom w:val="single" w:sz="6" w:space="0" w:color="999999"/>
              <w:right w:val="single" w:sz="6" w:space="0" w:color="999999"/>
            </w:tcBorders>
            <w:tcMar>
              <w:top w:w="0" w:type="dxa"/>
              <w:left w:w="40" w:type="dxa"/>
              <w:bottom w:w="0" w:type="dxa"/>
              <w:right w:w="40" w:type="dxa"/>
            </w:tcMar>
            <w:vAlign w:val="center"/>
          </w:tcPr>
          <w:p w14:paraId="7C6DDD64" w14:textId="43502051" w:rsidR="00280F6C" w:rsidRDefault="00985F53"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P</w:t>
            </w:r>
            <w:r w:rsidR="00280F6C">
              <w:rPr>
                <w:rFonts w:ascii="Calibri" w:eastAsia="Calibri" w:hAnsi="Calibri" w:cs="Calibri"/>
                <w:b/>
                <w:szCs w:val="22"/>
              </w:rPr>
              <w:t>ersonnel SWAN / Budget établissement</w:t>
            </w:r>
          </w:p>
        </w:tc>
        <w:tc>
          <w:tcPr>
            <w:tcW w:w="1395" w:type="dxa"/>
            <w:tcBorders>
              <w:top w:val="single" w:sz="6" w:space="0" w:color="999999"/>
              <w:left w:val="single" w:sz="6" w:space="0" w:color="CCCCCC"/>
              <w:bottom w:val="single" w:sz="6" w:space="0" w:color="999999"/>
              <w:right w:val="single" w:sz="6" w:space="0" w:color="999999"/>
            </w:tcBorders>
            <w:tcMar>
              <w:top w:w="0" w:type="dxa"/>
              <w:left w:w="40" w:type="dxa"/>
              <w:bottom w:w="0" w:type="dxa"/>
              <w:right w:w="40" w:type="dxa"/>
            </w:tcMar>
            <w:vAlign w:val="center"/>
          </w:tcPr>
          <w:p w14:paraId="1DD34622"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Type de dépense</w:t>
            </w:r>
          </w:p>
        </w:tc>
        <w:tc>
          <w:tcPr>
            <w:tcW w:w="2445" w:type="dxa"/>
            <w:tcBorders>
              <w:top w:val="single" w:sz="6" w:space="0" w:color="999999"/>
              <w:left w:val="single" w:sz="6" w:space="0" w:color="CCCCCC"/>
              <w:bottom w:val="single" w:sz="6" w:space="0" w:color="999999"/>
              <w:right w:val="single" w:sz="6" w:space="0" w:color="999999"/>
            </w:tcBorders>
            <w:tcMar>
              <w:top w:w="0" w:type="dxa"/>
              <w:left w:w="40" w:type="dxa"/>
              <w:bottom w:w="0" w:type="dxa"/>
              <w:right w:w="40" w:type="dxa"/>
            </w:tcMar>
            <w:vAlign w:val="center"/>
          </w:tcPr>
          <w:p w14:paraId="4D36431E"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Description</w:t>
            </w:r>
          </w:p>
        </w:tc>
        <w:tc>
          <w:tcPr>
            <w:tcW w:w="1073" w:type="dxa"/>
            <w:tcBorders>
              <w:top w:val="single" w:sz="6" w:space="0" w:color="999999"/>
              <w:left w:val="single" w:sz="6" w:space="0" w:color="CCCCCC"/>
              <w:bottom w:val="single" w:sz="6" w:space="0" w:color="999999"/>
              <w:right w:val="single" w:sz="6" w:space="0" w:color="999999"/>
            </w:tcBorders>
            <w:tcMar>
              <w:top w:w="0" w:type="dxa"/>
              <w:left w:w="40" w:type="dxa"/>
              <w:bottom w:w="0" w:type="dxa"/>
              <w:right w:w="40" w:type="dxa"/>
            </w:tcMar>
            <w:vAlign w:val="center"/>
          </w:tcPr>
          <w:p w14:paraId="35B9BBA7"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Quantité</w:t>
            </w:r>
          </w:p>
        </w:tc>
        <w:tc>
          <w:tcPr>
            <w:tcW w:w="1261" w:type="dxa"/>
            <w:tcBorders>
              <w:top w:val="single" w:sz="6" w:space="0" w:color="999999"/>
              <w:left w:val="single" w:sz="6" w:space="0" w:color="CCCCCC"/>
              <w:bottom w:val="single" w:sz="6" w:space="0" w:color="999999"/>
              <w:right w:val="single" w:sz="6" w:space="0" w:color="999999"/>
            </w:tcBorders>
            <w:tcMar>
              <w:top w:w="0" w:type="dxa"/>
              <w:left w:w="40" w:type="dxa"/>
              <w:bottom w:w="0" w:type="dxa"/>
              <w:right w:w="40" w:type="dxa"/>
            </w:tcMar>
            <w:vAlign w:val="center"/>
          </w:tcPr>
          <w:p w14:paraId="3160C2C5"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Coût TTC unitaire</w:t>
            </w:r>
          </w:p>
        </w:tc>
        <w:tc>
          <w:tcPr>
            <w:tcW w:w="1449" w:type="dxa"/>
            <w:tcBorders>
              <w:top w:val="single" w:sz="6" w:space="0" w:color="999999"/>
              <w:left w:val="single" w:sz="6" w:space="0" w:color="CCCCCC"/>
              <w:bottom w:val="single" w:sz="6" w:space="0" w:color="999999"/>
              <w:right w:val="single" w:sz="18" w:space="0" w:color="000000"/>
            </w:tcBorders>
            <w:tcMar>
              <w:top w:w="0" w:type="dxa"/>
              <w:left w:w="40" w:type="dxa"/>
              <w:bottom w:w="0" w:type="dxa"/>
              <w:right w:w="40" w:type="dxa"/>
            </w:tcMar>
            <w:vAlign w:val="center"/>
          </w:tcPr>
          <w:p w14:paraId="681CD5E2"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b/>
                <w:szCs w:val="22"/>
              </w:rPr>
              <w:t>Total TTC</w:t>
            </w:r>
          </w:p>
        </w:tc>
      </w:tr>
      <w:tr w:rsidR="00280F6C" w14:paraId="73B90E55"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5EA796AB"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5E4C011A"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Animation</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24D31A43"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Accompagnement SPAN sur 3 ans</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51A351AF"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01817C25"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13 020,00 €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5F845B8D"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13 020,00 €</w:t>
            </w:r>
          </w:p>
        </w:tc>
      </w:tr>
      <w:tr w:rsidR="00280F6C" w14:paraId="501D48F7" w14:textId="77777777" w:rsidTr="009929BB">
        <w:trPr>
          <w:trHeight w:val="82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1D67BD94"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2FE0A36B"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Animation</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57EA12BE"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Tutorat et animation de communauté pour formation en ligne</w:t>
            </w:r>
          </w:p>
        </w:tc>
        <w:tc>
          <w:tcPr>
            <w:tcW w:w="1073"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49DDD8D1"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w:t>
            </w:r>
          </w:p>
        </w:tc>
        <w:tc>
          <w:tcPr>
            <w:tcW w:w="1261"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5ED3A2F0"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3 727,50 €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781EC94B"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11 182,50 €</w:t>
            </w:r>
          </w:p>
        </w:tc>
      </w:tr>
      <w:tr w:rsidR="00280F6C" w14:paraId="10D56276" w14:textId="77777777" w:rsidTr="009929BB">
        <w:trPr>
          <w:trHeight w:val="82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0E851C5A"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239D5C66"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Animation</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66EE7544"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Webinaire : conception, organisation, diffusion et valorisation</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6515A517"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12</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0A6B5912"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577,50 €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5344C8BA"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6 930,00 €</w:t>
            </w:r>
          </w:p>
        </w:tc>
      </w:tr>
      <w:tr w:rsidR="00280F6C" w14:paraId="34DC0705" w14:textId="77777777" w:rsidTr="009929BB">
        <w:trPr>
          <w:trHeight w:val="28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652F0901"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587957C9"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Audit</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42298D7D"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Apps : Audit 1 initial</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4F25DB96"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11</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7A65E7E6"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4 123,00 €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327E5DAA"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45 353,00 €</w:t>
            </w:r>
          </w:p>
        </w:tc>
      </w:tr>
      <w:tr w:rsidR="00280F6C" w14:paraId="7F500A78" w14:textId="77777777" w:rsidTr="009929BB">
        <w:trPr>
          <w:trHeight w:val="28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7806107F"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1BB3D57F"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Audit</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5D121844"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Apps : Audit 2 de contrôle</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1A39CC36"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11</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365BEF7C"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2 170,00 €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7FFF46E7"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23 870,00 €</w:t>
            </w:r>
          </w:p>
        </w:tc>
      </w:tr>
      <w:tr w:rsidR="00280F6C" w14:paraId="44274DBE" w14:textId="77777777" w:rsidTr="009929BB">
        <w:trPr>
          <w:trHeight w:val="28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3CAE95DB"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10B7BA91"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Audit</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737D1581"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Blogs : Audit 1 initial</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20AEE4FC"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0</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70935968"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4 123,00 €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5FD9DE05"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0,00 €</w:t>
            </w:r>
          </w:p>
        </w:tc>
      </w:tr>
      <w:tr w:rsidR="00280F6C" w14:paraId="6955FB78" w14:textId="77777777" w:rsidTr="009929BB">
        <w:trPr>
          <w:trHeight w:val="28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32DE4964"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14B2533A"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Audit</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182FA001"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Blogs : Audit 2 de contrôle</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761A0839"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0</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5FBA65F2"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2 170,00 €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0CE5DCD8"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0,00 €</w:t>
            </w:r>
          </w:p>
        </w:tc>
      </w:tr>
      <w:tr w:rsidR="00280F6C" w14:paraId="7D6BAF10"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shd w:val="clear" w:color="auto" w:fill="FFFFFF"/>
            <w:tcMar>
              <w:top w:w="0" w:type="dxa"/>
              <w:left w:w="40" w:type="dxa"/>
              <w:bottom w:w="0" w:type="dxa"/>
              <w:right w:w="40" w:type="dxa"/>
            </w:tcMar>
            <w:vAlign w:val="bottom"/>
          </w:tcPr>
          <w:p w14:paraId="229D22DB"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014EF37E"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Audit</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4CDFEAA3"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Outillage : forfait audit automatique par an</w:t>
            </w:r>
          </w:p>
        </w:tc>
        <w:tc>
          <w:tcPr>
            <w:tcW w:w="1073"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45393C18"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w:t>
            </w:r>
          </w:p>
        </w:tc>
        <w:tc>
          <w:tcPr>
            <w:tcW w:w="1261"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3FC33198"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6 510,00 €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3E527BFF"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19 530,00 €</w:t>
            </w:r>
          </w:p>
        </w:tc>
      </w:tr>
      <w:tr w:rsidR="00280F6C" w14:paraId="3CDADD29" w14:textId="77777777" w:rsidTr="009929BB">
        <w:trPr>
          <w:trHeight w:val="28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2727F951"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43945FAF"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Audit</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2E278C73"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Sites : Audit 1 initial</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3E43E361"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4D76E4A4"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4 123,00 €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652E50B3"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12 369,00 €</w:t>
            </w:r>
          </w:p>
        </w:tc>
      </w:tr>
      <w:tr w:rsidR="00280F6C" w14:paraId="65356ACB" w14:textId="77777777" w:rsidTr="009929BB">
        <w:trPr>
          <w:trHeight w:val="28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33634A95"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0331040F"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Audit</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0A756355"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Sites : Audit 2 de contrôle</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547069FB"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779E9232"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2 170,00 €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195B78C9"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6 510,00 €</w:t>
            </w:r>
          </w:p>
        </w:tc>
      </w:tr>
      <w:tr w:rsidR="00280F6C" w14:paraId="65EDCE84"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4D4EDB4A"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653F9526"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Audit</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5349C8E4"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Apps non auditées : Audits express internes</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50ACB6DB"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103</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0CEFDC35"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280,00 €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68DF9F43"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28 840,00 €</w:t>
            </w:r>
          </w:p>
        </w:tc>
      </w:tr>
      <w:tr w:rsidR="00280F6C" w14:paraId="7E6D658B"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6F187D7C"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1992EE98"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Audit</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34D7EA1A"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Blogs non audités : Audits express internes</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5A3CB9B7"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36</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66AD8C40"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280,00 €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2AEA6D3C"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10 080,00 €</w:t>
            </w:r>
          </w:p>
        </w:tc>
      </w:tr>
      <w:tr w:rsidR="00280F6C" w14:paraId="16E944F9"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45DD8207"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5DD21C2F"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Audit</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60902884"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 xml:space="preserve">Sites non audités : Audits </w:t>
            </w:r>
            <w:r>
              <w:rPr>
                <w:rFonts w:ascii="Calibri" w:eastAsia="Calibri" w:hAnsi="Calibri" w:cs="Calibri"/>
                <w:szCs w:val="22"/>
              </w:rPr>
              <w:lastRenderedPageBreak/>
              <w:t>express internes</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156F29F2"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lastRenderedPageBreak/>
              <w:t>54</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64A8E228"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280,00 €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3DF9100B"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15 120,00 €</w:t>
            </w:r>
          </w:p>
        </w:tc>
      </w:tr>
      <w:tr w:rsidR="00280F6C" w14:paraId="67D5D21C" w14:textId="77777777" w:rsidTr="009929BB">
        <w:trPr>
          <w:trHeight w:val="825"/>
        </w:trPr>
        <w:tc>
          <w:tcPr>
            <w:tcW w:w="1440" w:type="dxa"/>
            <w:tcBorders>
              <w:top w:val="single" w:sz="6" w:space="0" w:color="CCCCCC"/>
              <w:left w:val="single" w:sz="6" w:space="0" w:color="999999"/>
              <w:bottom w:val="single" w:sz="6" w:space="0" w:color="999999"/>
              <w:right w:val="single" w:sz="6" w:space="0" w:color="999999"/>
            </w:tcBorders>
            <w:shd w:val="clear" w:color="auto" w:fill="FFFFFF"/>
            <w:tcMar>
              <w:top w:w="0" w:type="dxa"/>
              <w:left w:w="40" w:type="dxa"/>
              <w:bottom w:w="0" w:type="dxa"/>
              <w:right w:w="40" w:type="dxa"/>
            </w:tcMar>
            <w:vAlign w:val="bottom"/>
          </w:tcPr>
          <w:p w14:paraId="0E07C92B"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5BBD3FC0"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06438D62"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Auto-formation : Conception pédagogique d'une formation en ligne</w:t>
            </w:r>
          </w:p>
        </w:tc>
        <w:tc>
          <w:tcPr>
            <w:tcW w:w="1073"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689399E7"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w:t>
            </w:r>
          </w:p>
        </w:tc>
        <w:tc>
          <w:tcPr>
            <w:tcW w:w="1261"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018420B1"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5 208,00 €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44E6DDBF"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5 208,00 €</w:t>
            </w:r>
          </w:p>
        </w:tc>
      </w:tr>
      <w:tr w:rsidR="00280F6C" w14:paraId="74CB0D7E"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shd w:val="clear" w:color="auto" w:fill="FFFFFF"/>
            <w:tcMar>
              <w:top w:w="0" w:type="dxa"/>
              <w:left w:w="40" w:type="dxa"/>
              <w:bottom w:w="0" w:type="dxa"/>
              <w:right w:w="40" w:type="dxa"/>
            </w:tcMar>
            <w:vAlign w:val="bottom"/>
          </w:tcPr>
          <w:p w14:paraId="10EA6CCB"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0C5C5B73"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445"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4E2D0AFE"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 Moodle accessible - 3 jours</w:t>
            </w:r>
          </w:p>
        </w:tc>
        <w:tc>
          <w:tcPr>
            <w:tcW w:w="1073"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310B7F4D"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w:t>
            </w:r>
          </w:p>
        </w:tc>
        <w:tc>
          <w:tcPr>
            <w:tcW w:w="1261"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211F7C53"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4 068,75 €</w:t>
            </w:r>
          </w:p>
        </w:tc>
        <w:tc>
          <w:tcPr>
            <w:tcW w:w="1449" w:type="dxa"/>
            <w:tcBorders>
              <w:top w:val="single" w:sz="6" w:space="0" w:color="CCCCCC"/>
              <w:left w:val="single" w:sz="6" w:space="0" w:color="CCCCCC"/>
              <w:bottom w:val="single" w:sz="6" w:space="0" w:color="999999"/>
              <w:right w:val="single" w:sz="18" w:space="0" w:color="000000"/>
            </w:tcBorders>
            <w:shd w:val="clear" w:color="auto" w:fill="FFFFFF"/>
            <w:tcMar>
              <w:top w:w="0" w:type="dxa"/>
              <w:left w:w="40" w:type="dxa"/>
              <w:bottom w:w="0" w:type="dxa"/>
              <w:right w:w="40" w:type="dxa"/>
            </w:tcMar>
            <w:vAlign w:val="center"/>
          </w:tcPr>
          <w:p w14:paraId="4FF13D57"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8 476,56 €</w:t>
            </w:r>
          </w:p>
        </w:tc>
      </w:tr>
      <w:tr w:rsidR="00280F6C" w14:paraId="33E3848C"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shd w:val="clear" w:color="auto" w:fill="FFFFFF"/>
            <w:tcMar>
              <w:top w:w="0" w:type="dxa"/>
              <w:left w:w="40" w:type="dxa"/>
              <w:bottom w:w="0" w:type="dxa"/>
              <w:right w:w="40" w:type="dxa"/>
            </w:tcMar>
            <w:vAlign w:val="bottom"/>
          </w:tcPr>
          <w:p w14:paraId="2CD18147"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7C5946D9"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445"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07FFECAB"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 niveau 3 (dev technique) - 2 jours</w:t>
            </w:r>
          </w:p>
        </w:tc>
        <w:tc>
          <w:tcPr>
            <w:tcW w:w="1073"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00271D17"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w:t>
            </w:r>
          </w:p>
        </w:tc>
        <w:tc>
          <w:tcPr>
            <w:tcW w:w="1261"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77939AF9"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2 712,50 €</w:t>
            </w:r>
          </w:p>
        </w:tc>
        <w:tc>
          <w:tcPr>
            <w:tcW w:w="1449" w:type="dxa"/>
            <w:tcBorders>
              <w:top w:val="single" w:sz="6" w:space="0" w:color="CCCCCC"/>
              <w:left w:val="single" w:sz="6" w:space="0" w:color="CCCCCC"/>
              <w:bottom w:val="single" w:sz="6" w:space="0" w:color="999999"/>
              <w:right w:val="single" w:sz="18" w:space="0" w:color="000000"/>
            </w:tcBorders>
            <w:shd w:val="clear" w:color="auto" w:fill="FFFFFF"/>
            <w:tcMar>
              <w:top w:w="0" w:type="dxa"/>
              <w:left w:w="40" w:type="dxa"/>
              <w:bottom w:w="0" w:type="dxa"/>
              <w:right w:w="40" w:type="dxa"/>
            </w:tcMar>
            <w:vAlign w:val="center"/>
          </w:tcPr>
          <w:p w14:paraId="74AD3552"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2 260,42 €</w:t>
            </w:r>
          </w:p>
        </w:tc>
      </w:tr>
      <w:tr w:rsidR="00280F6C" w14:paraId="444FB603" w14:textId="77777777" w:rsidTr="009929BB">
        <w:trPr>
          <w:trHeight w:val="1095"/>
        </w:trPr>
        <w:tc>
          <w:tcPr>
            <w:tcW w:w="1440" w:type="dxa"/>
            <w:tcBorders>
              <w:top w:val="single" w:sz="6" w:space="0" w:color="CCCCCC"/>
              <w:left w:val="single" w:sz="6" w:space="0" w:color="999999"/>
              <w:bottom w:val="single" w:sz="6" w:space="0" w:color="999999"/>
              <w:right w:val="single" w:sz="6" w:space="0" w:color="999999"/>
            </w:tcBorders>
            <w:shd w:val="clear" w:color="auto" w:fill="FFFFFF"/>
            <w:tcMar>
              <w:top w:w="0" w:type="dxa"/>
              <w:left w:w="40" w:type="dxa"/>
              <w:bottom w:w="0" w:type="dxa"/>
              <w:right w:w="40" w:type="dxa"/>
            </w:tcMar>
            <w:vAlign w:val="bottom"/>
          </w:tcPr>
          <w:p w14:paraId="3A60CF25"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395"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bottom"/>
          </w:tcPr>
          <w:p w14:paraId="2EF78194"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6832DB03"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Auto-formation : Conception et production de cours en ligne pour auto-formation et mise à disposition de ressources</w:t>
            </w:r>
          </w:p>
        </w:tc>
        <w:tc>
          <w:tcPr>
            <w:tcW w:w="1073"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0208F08A"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w:t>
            </w:r>
          </w:p>
        </w:tc>
        <w:tc>
          <w:tcPr>
            <w:tcW w:w="1261"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2C008792"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6 790,00 €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2B5DB0AD"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6 790,00 €</w:t>
            </w:r>
          </w:p>
        </w:tc>
      </w:tr>
      <w:tr w:rsidR="00280F6C" w14:paraId="724D6588"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410670C6"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2F21340C"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27D67B37"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 niveau 1 contrib - 0,5 j.</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6A41B210"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5</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7558FBC8"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358,75 €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71C01E0A"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1 793,75 €</w:t>
            </w:r>
          </w:p>
        </w:tc>
      </w:tr>
      <w:tr w:rsidR="00280F6C" w14:paraId="64F2E167"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1E3D1502"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285BB848"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61B971BA"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 niveau 2 contrib - 1 j.</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224CE907"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12</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7B948011"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577,50 €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0B01F3CE"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6 930,00 €</w:t>
            </w:r>
          </w:p>
        </w:tc>
      </w:tr>
      <w:tr w:rsidR="00280F6C" w14:paraId="3588A4AA" w14:textId="77777777" w:rsidTr="009929BB">
        <w:trPr>
          <w:trHeight w:val="28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54BE15C4"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1B55E8E1"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Formation</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49D3D010"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Sensibilisation interne</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5DE1C4DC"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4</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394A1DF7"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293,13 €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6B6C51BD"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1 221,35 €</w:t>
            </w:r>
          </w:p>
        </w:tc>
      </w:tr>
      <w:tr w:rsidR="00280F6C" w14:paraId="58EF3AA6" w14:textId="77777777" w:rsidTr="009929BB">
        <w:trPr>
          <w:trHeight w:val="82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5621E1E7"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6CE43415"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Mise aux normes</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09AEE951"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 xml:space="preserve">Conception d'un webservice pour </w:t>
            </w:r>
            <w:proofErr w:type="spellStart"/>
            <w:r>
              <w:rPr>
                <w:rFonts w:ascii="Calibri" w:eastAsia="Calibri" w:hAnsi="Calibri" w:cs="Calibri"/>
                <w:szCs w:val="22"/>
              </w:rPr>
              <w:t>Ametys</w:t>
            </w:r>
            <w:proofErr w:type="spellEnd"/>
            <w:r>
              <w:rPr>
                <w:rFonts w:ascii="Calibri" w:eastAsia="Calibri" w:hAnsi="Calibri" w:cs="Calibri"/>
                <w:szCs w:val="22"/>
              </w:rPr>
              <w:t xml:space="preserve"> et ADE : développement externe</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16397A42"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w:t>
            </w:r>
          </w:p>
        </w:tc>
        <w:tc>
          <w:tcPr>
            <w:tcW w:w="1261" w:type="dxa"/>
            <w:tcBorders>
              <w:top w:val="single" w:sz="6" w:space="0" w:color="CCCCCC"/>
              <w:left w:val="single" w:sz="6" w:space="0" w:color="CCCCCC"/>
              <w:bottom w:val="single" w:sz="6" w:space="0" w:color="999999"/>
              <w:right w:val="single" w:sz="6" w:space="0" w:color="999999"/>
            </w:tcBorders>
            <w:shd w:val="clear" w:color="auto" w:fill="FFFFFF"/>
            <w:tcMar>
              <w:top w:w="0" w:type="dxa"/>
              <w:left w:w="40" w:type="dxa"/>
              <w:bottom w:w="0" w:type="dxa"/>
              <w:right w:w="40" w:type="dxa"/>
            </w:tcMar>
            <w:vAlign w:val="center"/>
          </w:tcPr>
          <w:p w14:paraId="3613E170"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8 000,00 €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33BC46A7"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16 000,00 €</w:t>
            </w:r>
          </w:p>
        </w:tc>
      </w:tr>
      <w:tr w:rsidR="00280F6C" w14:paraId="3B1E8F3B"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6CA9E52B"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4CC98DEB"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Mise aux normes</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6B564E67"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Correction de non-conformités sur services audités</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690AC40B"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14</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5D0FD94C"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3 797,50 €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441029C0"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53 165,00 €</w:t>
            </w:r>
          </w:p>
        </w:tc>
      </w:tr>
      <w:tr w:rsidR="00280F6C" w14:paraId="3B8D91E0"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1E69942A"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5365DEE8"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Mise aux normes</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06254759"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Sous-titrage vidéo pour 1 heure</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5F2EC55F"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300</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2056B584"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65,10 €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397E40ED"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19 530,00 €</w:t>
            </w:r>
          </w:p>
        </w:tc>
      </w:tr>
      <w:tr w:rsidR="00280F6C" w14:paraId="7FFC4540" w14:textId="77777777" w:rsidTr="009929BB">
        <w:trPr>
          <w:trHeight w:val="555"/>
        </w:trPr>
        <w:tc>
          <w:tcPr>
            <w:tcW w:w="1440" w:type="dxa"/>
            <w:tcBorders>
              <w:top w:val="single" w:sz="6" w:space="0" w:color="CCCCCC"/>
              <w:left w:val="single" w:sz="6" w:space="0" w:color="999999"/>
              <w:bottom w:val="single" w:sz="6" w:space="0" w:color="999999"/>
              <w:right w:val="single" w:sz="6" w:space="0" w:color="999999"/>
            </w:tcBorders>
            <w:tcMar>
              <w:top w:w="0" w:type="dxa"/>
              <w:left w:w="40" w:type="dxa"/>
              <w:bottom w:w="0" w:type="dxa"/>
              <w:right w:w="40" w:type="dxa"/>
            </w:tcMar>
            <w:vAlign w:val="bottom"/>
          </w:tcPr>
          <w:p w14:paraId="412206AE"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516725EA"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Mise aux normes</w:t>
            </w:r>
          </w:p>
        </w:tc>
        <w:tc>
          <w:tcPr>
            <w:tcW w:w="2445"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bottom"/>
          </w:tcPr>
          <w:p w14:paraId="7D2660A4"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Webinaire : accessibilité (</w:t>
            </w:r>
            <w:proofErr w:type="spellStart"/>
            <w:r>
              <w:rPr>
                <w:rFonts w:ascii="Calibri" w:eastAsia="Calibri" w:hAnsi="Calibri" w:cs="Calibri"/>
                <w:szCs w:val="22"/>
              </w:rPr>
              <w:t>vélotypie</w:t>
            </w:r>
            <w:proofErr w:type="spellEnd"/>
            <w:r>
              <w:rPr>
                <w:rFonts w:ascii="Calibri" w:eastAsia="Calibri" w:hAnsi="Calibri" w:cs="Calibri"/>
                <w:szCs w:val="22"/>
              </w:rPr>
              <w:t xml:space="preserve"> + LSF)</w:t>
            </w:r>
          </w:p>
        </w:tc>
        <w:tc>
          <w:tcPr>
            <w:tcW w:w="1073"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44565D3A"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12</w:t>
            </w:r>
          </w:p>
        </w:tc>
        <w:tc>
          <w:tcPr>
            <w:tcW w:w="1261" w:type="dxa"/>
            <w:tcBorders>
              <w:top w:val="single" w:sz="6" w:space="0" w:color="CCCCCC"/>
              <w:left w:val="single" w:sz="6" w:space="0" w:color="CCCCCC"/>
              <w:bottom w:val="single" w:sz="6" w:space="0" w:color="999999"/>
              <w:right w:val="single" w:sz="6" w:space="0" w:color="999999"/>
            </w:tcBorders>
            <w:tcMar>
              <w:top w:w="0" w:type="dxa"/>
              <w:left w:w="40" w:type="dxa"/>
              <w:bottom w:w="0" w:type="dxa"/>
              <w:right w:w="40" w:type="dxa"/>
            </w:tcMar>
            <w:vAlign w:val="center"/>
          </w:tcPr>
          <w:p w14:paraId="40435868"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1 200,00 €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72A35B8E"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14 400,00 €</w:t>
            </w:r>
          </w:p>
        </w:tc>
      </w:tr>
      <w:tr w:rsidR="00280F6C" w14:paraId="1E929509" w14:textId="77777777" w:rsidTr="009929BB">
        <w:trPr>
          <w:trHeight w:val="555"/>
        </w:trPr>
        <w:tc>
          <w:tcPr>
            <w:tcW w:w="1440" w:type="dxa"/>
            <w:tcBorders>
              <w:top w:val="single" w:sz="6" w:space="0" w:color="CCCCCC"/>
              <w:left w:val="single" w:sz="6" w:space="0" w:color="999999"/>
              <w:bottom w:val="single" w:sz="6" w:space="0" w:color="000000"/>
              <w:right w:val="single" w:sz="6" w:space="0" w:color="999999"/>
            </w:tcBorders>
            <w:tcMar>
              <w:top w:w="0" w:type="dxa"/>
              <w:left w:w="40" w:type="dxa"/>
              <w:bottom w:w="0" w:type="dxa"/>
              <w:right w:w="40" w:type="dxa"/>
            </w:tcMar>
            <w:vAlign w:val="bottom"/>
          </w:tcPr>
          <w:p w14:paraId="0BF9B365"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SWAN</w:t>
            </w:r>
          </w:p>
        </w:tc>
        <w:tc>
          <w:tcPr>
            <w:tcW w:w="1395" w:type="dxa"/>
            <w:tcBorders>
              <w:top w:val="single" w:sz="6" w:space="0" w:color="CCCCCC"/>
              <w:left w:val="single" w:sz="6" w:space="0" w:color="CCCCCC"/>
              <w:bottom w:val="single" w:sz="6" w:space="0" w:color="000000"/>
              <w:right w:val="single" w:sz="6" w:space="0" w:color="999999"/>
            </w:tcBorders>
            <w:tcMar>
              <w:top w:w="0" w:type="dxa"/>
              <w:left w:w="40" w:type="dxa"/>
              <w:bottom w:w="0" w:type="dxa"/>
              <w:right w:w="40" w:type="dxa"/>
            </w:tcMar>
            <w:vAlign w:val="bottom"/>
          </w:tcPr>
          <w:p w14:paraId="0563E902"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Mise aux normes</w:t>
            </w:r>
          </w:p>
        </w:tc>
        <w:tc>
          <w:tcPr>
            <w:tcW w:w="2445" w:type="dxa"/>
            <w:tcBorders>
              <w:top w:val="single" w:sz="6" w:space="0" w:color="CCCCCC"/>
              <w:left w:val="single" w:sz="6" w:space="0" w:color="CCCCCC"/>
              <w:bottom w:val="single" w:sz="6" w:space="0" w:color="000000"/>
              <w:right w:val="single" w:sz="6" w:space="0" w:color="999999"/>
            </w:tcBorders>
            <w:tcMar>
              <w:top w:w="0" w:type="dxa"/>
              <w:left w:w="40" w:type="dxa"/>
              <w:bottom w:w="0" w:type="dxa"/>
              <w:right w:w="40" w:type="dxa"/>
            </w:tcMar>
            <w:vAlign w:val="bottom"/>
          </w:tcPr>
          <w:p w14:paraId="64EEB7DC"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 xml:space="preserve">Conception d'un webservice </w:t>
            </w:r>
            <w:proofErr w:type="spellStart"/>
            <w:r>
              <w:rPr>
                <w:rFonts w:ascii="Calibri" w:eastAsia="Calibri" w:hAnsi="Calibri" w:cs="Calibri"/>
                <w:szCs w:val="22"/>
              </w:rPr>
              <w:t>Ametys</w:t>
            </w:r>
            <w:proofErr w:type="spellEnd"/>
            <w:r>
              <w:rPr>
                <w:rFonts w:ascii="Calibri" w:eastAsia="Calibri" w:hAnsi="Calibri" w:cs="Calibri"/>
                <w:szCs w:val="22"/>
              </w:rPr>
              <w:t xml:space="preserve"> et ADE : suivi interne</w:t>
            </w:r>
          </w:p>
        </w:tc>
        <w:tc>
          <w:tcPr>
            <w:tcW w:w="1073" w:type="dxa"/>
            <w:tcBorders>
              <w:top w:val="single" w:sz="6" w:space="0" w:color="CCCCCC"/>
              <w:left w:val="single" w:sz="6" w:space="0" w:color="CCCCCC"/>
              <w:bottom w:val="single" w:sz="6" w:space="0" w:color="000000"/>
              <w:right w:val="single" w:sz="6" w:space="0" w:color="999999"/>
            </w:tcBorders>
            <w:tcMar>
              <w:top w:w="0" w:type="dxa"/>
              <w:left w:w="40" w:type="dxa"/>
              <w:bottom w:w="0" w:type="dxa"/>
              <w:right w:w="40" w:type="dxa"/>
            </w:tcMar>
            <w:vAlign w:val="center"/>
          </w:tcPr>
          <w:p w14:paraId="35104D5C"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w:t>
            </w:r>
          </w:p>
        </w:tc>
        <w:tc>
          <w:tcPr>
            <w:tcW w:w="1261" w:type="dxa"/>
            <w:tcBorders>
              <w:top w:val="single" w:sz="6" w:space="0" w:color="CCCCCC"/>
              <w:left w:val="single" w:sz="6" w:space="0" w:color="CCCCCC"/>
              <w:bottom w:val="single" w:sz="6" w:space="0" w:color="000000"/>
              <w:right w:val="single" w:sz="6" w:space="0" w:color="999999"/>
            </w:tcBorders>
            <w:shd w:val="clear" w:color="auto" w:fill="FFFFFF"/>
            <w:tcMar>
              <w:top w:w="0" w:type="dxa"/>
              <w:left w:w="40" w:type="dxa"/>
              <w:bottom w:w="0" w:type="dxa"/>
              <w:right w:w="40" w:type="dxa"/>
            </w:tcMar>
            <w:vAlign w:val="center"/>
          </w:tcPr>
          <w:p w14:paraId="4D74A57A"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3 984,50 €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0EFD181C"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7 969,00 €</w:t>
            </w:r>
          </w:p>
        </w:tc>
      </w:tr>
      <w:tr w:rsidR="00280F6C" w14:paraId="58D4569A" w14:textId="77777777" w:rsidTr="009929BB">
        <w:trPr>
          <w:trHeight w:val="555"/>
        </w:trPr>
        <w:tc>
          <w:tcPr>
            <w:tcW w:w="14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86C29D9"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lastRenderedPageBreak/>
              <w:t>SWAN</w:t>
            </w:r>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8E50C8"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Sensibilisation</w:t>
            </w:r>
          </w:p>
        </w:tc>
        <w:tc>
          <w:tcPr>
            <w:tcW w:w="24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BDF8AD"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Journées universitaires de l'accessibilité universelle</w:t>
            </w:r>
          </w:p>
        </w:tc>
        <w:tc>
          <w:tcPr>
            <w:tcW w:w="107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F9CD88"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w:t>
            </w:r>
          </w:p>
        </w:tc>
        <w:tc>
          <w:tcPr>
            <w:tcW w:w="12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4E9539"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1 802,50 €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33BF9C1A"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1 802,50 €</w:t>
            </w:r>
          </w:p>
        </w:tc>
      </w:tr>
      <w:tr w:rsidR="00280F6C" w14:paraId="191212B2" w14:textId="77777777" w:rsidTr="009929BB">
        <w:trPr>
          <w:trHeight w:val="555"/>
        </w:trPr>
        <w:tc>
          <w:tcPr>
            <w:tcW w:w="14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50B44E2" w14:textId="77777777" w:rsidR="00280F6C" w:rsidRDefault="00280F6C" w:rsidP="009929BB">
            <w:pPr>
              <w:widowControl w:val="0"/>
              <w:spacing w:after="0" w:line="276" w:lineRule="auto"/>
              <w:rPr>
                <w:rFonts w:ascii="Calibri" w:eastAsia="Calibri" w:hAnsi="Calibri" w:cs="Calibri"/>
                <w:szCs w:val="22"/>
              </w:rPr>
            </w:pPr>
            <w:proofErr w:type="gramStart"/>
            <w:r>
              <w:rPr>
                <w:rFonts w:ascii="Calibri" w:eastAsia="Calibri" w:hAnsi="Calibri" w:cs="Calibri"/>
                <w:szCs w:val="22"/>
              </w:rPr>
              <w:t>établissement</w:t>
            </w:r>
            <w:proofErr w:type="gramEnd"/>
          </w:p>
        </w:tc>
        <w:tc>
          <w:tcPr>
            <w:tcW w:w="13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5E845D"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Sensibilisation</w:t>
            </w:r>
          </w:p>
        </w:tc>
        <w:tc>
          <w:tcPr>
            <w:tcW w:w="24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08E410" w14:textId="77777777" w:rsidR="00280F6C" w:rsidRDefault="00280F6C" w:rsidP="009929BB">
            <w:pPr>
              <w:widowControl w:val="0"/>
              <w:spacing w:after="0" w:line="276" w:lineRule="auto"/>
              <w:rPr>
                <w:rFonts w:ascii="Calibri" w:eastAsia="Calibri" w:hAnsi="Calibri" w:cs="Calibri"/>
                <w:szCs w:val="22"/>
              </w:rPr>
            </w:pPr>
            <w:r>
              <w:rPr>
                <w:rFonts w:ascii="Calibri" w:eastAsia="Calibri" w:hAnsi="Calibri" w:cs="Calibri"/>
                <w:szCs w:val="22"/>
              </w:rPr>
              <w:t>Journées universitaires de l'accessibilité universelle</w:t>
            </w:r>
          </w:p>
        </w:tc>
        <w:tc>
          <w:tcPr>
            <w:tcW w:w="107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221274"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1</w:t>
            </w:r>
          </w:p>
        </w:tc>
        <w:tc>
          <w:tcPr>
            <w:tcW w:w="126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2AC168" w14:textId="77777777" w:rsidR="00280F6C" w:rsidRDefault="00280F6C" w:rsidP="009929BB">
            <w:pPr>
              <w:widowControl w:val="0"/>
              <w:spacing w:after="0" w:line="276" w:lineRule="auto"/>
              <w:jc w:val="right"/>
              <w:rPr>
                <w:rFonts w:ascii="Calibri" w:eastAsia="Calibri" w:hAnsi="Calibri" w:cs="Calibri"/>
                <w:szCs w:val="22"/>
              </w:rPr>
            </w:pPr>
            <w:r>
              <w:rPr>
                <w:rFonts w:ascii="Calibri" w:eastAsia="Calibri" w:hAnsi="Calibri" w:cs="Calibri"/>
                <w:szCs w:val="22"/>
              </w:rPr>
              <w:t>21 700,00 €</w:t>
            </w:r>
          </w:p>
        </w:tc>
        <w:tc>
          <w:tcPr>
            <w:tcW w:w="1449" w:type="dxa"/>
            <w:tcBorders>
              <w:top w:val="single" w:sz="6" w:space="0" w:color="CCCCCC"/>
              <w:left w:val="single" w:sz="6" w:space="0" w:color="CCCCCC"/>
              <w:bottom w:val="single" w:sz="6" w:space="0" w:color="999999"/>
              <w:right w:val="single" w:sz="18" w:space="0" w:color="000000"/>
            </w:tcBorders>
            <w:tcMar>
              <w:top w:w="0" w:type="dxa"/>
              <w:left w:w="40" w:type="dxa"/>
              <w:bottom w:w="0" w:type="dxa"/>
              <w:right w:w="40" w:type="dxa"/>
            </w:tcMar>
            <w:vAlign w:val="center"/>
          </w:tcPr>
          <w:p w14:paraId="264AA7BF" w14:textId="77777777" w:rsidR="00280F6C" w:rsidRDefault="00280F6C" w:rsidP="009929BB">
            <w:pPr>
              <w:widowControl w:val="0"/>
              <w:spacing w:after="0" w:line="276" w:lineRule="auto"/>
              <w:jc w:val="center"/>
              <w:rPr>
                <w:rFonts w:ascii="Calibri" w:eastAsia="Calibri" w:hAnsi="Calibri" w:cs="Calibri"/>
                <w:szCs w:val="22"/>
              </w:rPr>
            </w:pPr>
            <w:r>
              <w:rPr>
                <w:rFonts w:ascii="Calibri" w:eastAsia="Calibri" w:hAnsi="Calibri" w:cs="Calibri"/>
                <w:szCs w:val="22"/>
              </w:rPr>
              <w:t>21 700,00 €</w:t>
            </w:r>
          </w:p>
        </w:tc>
      </w:tr>
    </w:tbl>
    <w:p w14:paraId="51F459E7" w14:textId="77777777" w:rsidR="00280F6C" w:rsidRPr="00280F6C" w:rsidRDefault="00280F6C" w:rsidP="00280F6C"/>
    <w:sectPr w:rsidR="00280F6C" w:rsidRPr="00280F6C" w:rsidSect="00C349CD">
      <w:footerReference w:type="default" r:id="rId2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D52A" w14:textId="77777777" w:rsidR="00251828" w:rsidRDefault="00251828" w:rsidP="00063367">
      <w:pPr>
        <w:spacing w:before="0" w:after="0"/>
      </w:pPr>
      <w:r>
        <w:separator/>
      </w:r>
    </w:p>
  </w:endnote>
  <w:endnote w:type="continuationSeparator" w:id="0">
    <w:p w14:paraId="48E5E38A" w14:textId="77777777" w:rsidR="00251828" w:rsidRDefault="00251828" w:rsidP="000633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Playfair Display">
    <w:panose1 w:val="00000500000000000000"/>
    <w:charset w:val="4D"/>
    <w:family w:val="auto"/>
    <w:pitch w:val="variable"/>
    <w:sig w:usb0="20000207" w:usb1="00000000"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28"/>
      <w:gridCol w:w="4528"/>
    </w:tblGrid>
    <w:tr w:rsidR="00761A99" w14:paraId="5D37F512" w14:textId="77777777" w:rsidTr="00761A99">
      <w:tc>
        <w:tcPr>
          <w:tcW w:w="4528" w:type="dxa"/>
        </w:tcPr>
        <w:p w14:paraId="490EEDD6" w14:textId="50B371FD" w:rsidR="00761A99" w:rsidRDefault="00761A99">
          <w:pPr>
            <w:pStyle w:val="Pieddepage"/>
          </w:pPr>
          <w:r w:rsidRPr="00761A99">
            <w:t>SPAN UR 2022-2025</w:t>
          </w:r>
        </w:p>
      </w:tc>
      <w:tc>
        <w:tcPr>
          <w:tcW w:w="4528" w:type="dxa"/>
        </w:tcPr>
        <w:p w14:paraId="5CC719DC" w14:textId="330528B2" w:rsidR="00761A99" w:rsidRDefault="00761A99" w:rsidP="00761A99">
          <w:pPr>
            <w:pStyle w:val="Pieddepage"/>
            <w:jc w:val="right"/>
          </w:pP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tc>
    </w:tr>
  </w:tbl>
  <w:p w14:paraId="79E88530" w14:textId="77777777" w:rsidR="00063367" w:rsidRDefault="000633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702B" w14:textId="77777777" w:rsidR="00251828" w:rsidRDefault="00251828" w:rsidP="00063367">
      <w:pPr>
        <w:spacing w:before="0" w:after="0"/>
      </w:pPr>
      <w:r>
        <w:separator/>
      </w:r>
    </w:p>
  </w:footnote>
  <w:footnote w:type="continuationSeparator" w:id="0">
    <w:p w14:paraId="7A69B6C7" w14:textId="77777777" w:rsidR="00251828" w:rsidRDefault="00251828" w:rsidP="0006336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BEC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08D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49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641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7AF1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C9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C6B5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DE9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6217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4027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7E7A"/>
    <w:multiLevelType w:val="hybridMultilevel"/>
    <w:tmpl w:val="C5667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6A76EA9"/>
    <w:multiLevelType w:val="hybridMultilevel"/>
    <w:tmpl w:val="1F16D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E20A5A"/>
    <w:multiLevelType w:val="hybridMultilevel"/>
    <w:tmpl w:val="1B4EE82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AD2CE7"/>
    <w:multiLevelType w:val="hybridMultilevel"/>
    <w:tmpl w:val="AB5C8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78714A"/>
    <w:multiLevelType w:val="hybridMultilevel"/>
    <w:tmpl w:val="DF6CF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B55F0C"/>
    <w:multiLevelType w:val="hybridMultilevel"/>
    <w:tmpl w:val="1CCC1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873187A"/>
    <w:multiLevelType w:val="hybridMultilevel"/>
    <w:tmpl w:val="7FAC5A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A8B0882"/>
    <w:multiLevelType w:val="hybridMultilevel"/>
    <w:tmpl w:val="24AC6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AAB3626"/>
    <w:multiLevelType w:val="hybridMultilevel"/>
    <w:tmpl w:val="03866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9F1A3E"/>
    <w:multiLevelType w:val="hybridMultilevel"/>
    <w:tmpl w:val="DC125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3E4898"/>
    <w:multiLevelType w:val="hybridMultilevel"/>
    <w:tmpl w:val="82CC6612"/>
    <w:lvl w:ilvl="0" w:tplc="040C0001">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26722B45"/>
    <w:multiLevelType w:val="hybridMultilevel"/>
    <w:tmpl w:val="5FAA6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AA237C"/>
    <w:multiLevelType w:val="hybridMultilevel"/>
    <w:tmpl w:val="EF681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506527"/>
    <w:multiLevelType w:val="hybridMultilevel"/>
    <w:tmpl w:val="A8B49A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F23E7E"/>
    <w:multiLevelType w:val="hybridMultilevel"/>
    <w:tmpl w:val="30800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AB5CE7"/>
    <w:multiLevelType w:val="hybridMultilevel"/>
    <w:tmpl w:val="99828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46518C"/>
    <w:multiLevelType w:val="hybridMultilevel"/>
    <w:tmpl w:val="4ACE4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316147"/>
    <w:multiLevelType w:val="hybridMultilevel"/>
    <w:tmpl w:val="61EAAF98"/>
    <w:lvl w:ilvl="0" w:tplc="040C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932F4E"/>
    <w:multiLevelType w:val="hybridMultilevel"/>
    <w:tmpl w:val="0BF4D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985693"/>
    <w:multiLevelType w:val="hybridMultilevel"/>
    <w:tmpl w:val="02AE15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3857192">
    <w:abstractNumId w:val="4"/>
  </w:num>
  <w:num w:numId="2" w16cid:durableId="1935551549">
    <w:abstractNumId w:val="5"/>
  </w:num>
  <w:num w:numId="3" w16cid:durableId="305859400">
    <w:abstractNumId w:val="6"/>
  </w:num>
  <w:num w:numId="4" w16cid:durableId="194731966">
    <w:abstractNumId w:val="7"/>
  </w:num>
  <w:num w:numId="5" w16cid:durableId="936182544">
    <w:abstractNumId w:val="9"/>
  </w:num>
  <w:num w:numId="6" w16cid:durableId="1841965403">
    <w:abstractNumId w:val="0"/>
  </w:num>
  <w:num w:numId="7" w16cid:durableId="804153315">
    <w:abstractNumId w:val="1"/>
  </w:num>
  <w:num w:numId="8" w16cid:durableId="985819035">
    <w:abstractNumId w:val="2"/>
  </w:num>
  <w:num w:numId="9" w16cid:durableId="585267081">
    <w:abstractNumId w:val="3"/>
  </w:num>
  <w:num w:numId="10" w16cid:durableId="2110352826">
    <w:abstractNumId w:val="8"/>
  </w:num>
  <w:num w:numId="11" w16cid:durableId="550575310">
    <w:abstractNumId w:val="22"/>
  </w:num>
  <w:num w:numId="12" w16cid:durableId="737747432">
    <w:abstractNumId w:val="28"/>
  </w:num>
  <w:num w:numId="13" w16cid:durableId="22445615">
    <w:abstractNumId w:val="25"/>
  </w:num>
  <w:num w:numId="14" w16cid:durableId="311913969">
    <w:abstractNumId w:val="23"/>
  </w:num>
  <w:num w:numId="15" w16cid:durableId="1136333958">
    <w:abstractNumId w:val="14"/>
  </w:num>
  <w:num w:numId="16" w16cid:durableId="556477978">
    <w:abstractNumId w:val="12"/>
  </w:num>
  <w:num w:numId="17" w16cid:durableId="1668702338">
    <w:abstractNumId w:val="20"/>
  </w:num>
  <w:num w:numId="18" w16cid:durableId="957103014">
    <w:abstractNumId w:val="15"/>
  </w:num>
  <w:num w:numId="19" w16cid:durableId="204953361">
    <w:abstractNumId w:val="19"/>
  </w:num>
  <w:num w:numId="20" w16cid:durableId="1006591347">
    <w:abstractNumId w:val="13"/>
  </w:num>
  <w:num w:numId="21" w16cid:durableId="622806311">
    <w:abstractNumId w:val="27"/>
  </w:num>
  <w:num w:numId="22" w16cid:durableId="1594822474">
    <w:abstractNumId w:val="29"/>
  </w:num>
  <w:num w:numId="23" w16cid:durableId="352099">
    <w:abstractNumId w:val="21"/>
  </w:num>
  <w:num w:numId="24" w16cid:durableId="279653242">
    <w:abstractNumId w:val="11"/>
  </w:num>
  <w:num w:numId="25" w16cid:durableId="1112434414">
    <w:abstractNumId w:val="18"/>
  </w:num>
  <w:num w:numId="26" w16cid:durableId="263389811">
    <w:abstractNumId w:val="10"/>
  </w:num>
  <w:num w:numId="27" w16cid:durableId="1283002309">
    <w:abstractNumId w:val="17"/>
  </w:num>
  <w:num w:numId="28" w16cid:durableId="1181702337">
    <w:abstractNumId w:val="24"/>
  </w:num>
  <w:num w:numId="29" w16cid:durableId="1089233430">
    <w:abstractNumId w:val="26"/>
  </w:num>
  <w:num w:numId="30" w16cid:durableId="12286081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67"/>
    <w:rsid w:val="00013BED"/>
    <w:rsid w:val="00063367"/>
    <w:rsid w:val="00096500"/>
    <w:rsid w:val="00142522"/>
    <w:rsid w:val="00156451"/>
    <w:rsid w:val="00165D7E"/>
    <w:rsid w:val="001F2020"/>
    <w:rsid w:val="00221158"/>
    <w:rsid w:val="00251828"/>
    <w:rsid w:val="00280F6C"/>
    <w:rsid w:val="00332578"/>
    <w:rsid w:val="003555A0"/>
    <w:rsid w:val="00616C9F"/>
    <w:rsid w:val="00623717"/>
    <w:rsid w:val="00652351"/>
    <w:rsid w:val="006C5881"/>
    <w:rsid w:val="006D73F1"/>
    <w:rsid w:val="006E6349"/>
    <w:rsid w:val="00704A63"/>
    <w:rsid w:val="00761A99"/>
    <w:rsid w:val="00763F11"/>
    <w:rsid w:val="00776EBA"/>
    <w:rsid w:val="0079254C"/>
    <w:rsid w:val="008040FC"/>
    <w:rsid w:val="008B24D8"/>
    <w:rsid w:val="008D6AAB"/>
    <w:rsid w:val="009122FD"/>
    <w:rsid w:val="00940105"/>
    <w:rsid w:val="00985F53"/>
    <w:rsid w:val="00A01400"/>
    <w:rsid w:val="00A0782C"/>
    <w:rsid w:val="00AB1676"/>
    <w:rsid w:val="00B53EBD"/>
    <w:rsid w:val="00BD5A3E"/>
    <w:rsid w:val="00C01D52"/>
    <w:rsid w:val="00C349CD"/>
    <w:rsid w:val="00CD669C"/>
    <w:rsid w:val="00D95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01C4"/>
  <w15:chartTrackingRefBased/>
  <w15:docId w15:val="{2E029D4B-DB95-9A4E-BC48-AE8BCF5E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ED"/>
    <w:pPr>
      <w:spacing w:before="160" w:after="160"/>
    </w:pPr>
    <w:rPr>
      <w:rFonts w:ascii="Raleway" w:hAnsi="Raleway"/>
      <w:sz w:val="22"/>
    </w:rPr>
  </w:style>
  <w:style w:type="paragraph" w:styleId="Titre1">
    <w:name w:val="heading 1"/>
    <w:basedOn w:val="Normal"/>
    <w:next w:val="Normal"/>
    <w:link w:val="Titre1Car"/>
    <w:uiPriority w:val="9"/>
    <w:qFormat/>
    <w:rsid w:val="001F2020"/>
    <w:pPr>
      <w:keepNext/>
      <w:keepLines/>
      <w:spacing w:before="240" w:after="240"/>
      <w:outlineLvl w:val="0"/>
    </w:pPr>
    <w:rPr>
      <w:rFonts w:ascii="Playfair Display" w:eastAsiaTheme="majorEastAsia" w:hAnsi="Playfair Display" w:cstheme="majorBidi"/>
      <w:color w:val="1A2450"/>
      <w:sz w:val="32"/>
      <w:szCs w:val="32"/>
    </w:rPr>
  </w:style>
  <w:style w:type="paragraph" w:styleId="Titre2">
    <w:name w:val="heading 2"/>
    <w:basedOn w:val="Normal"/>
    <w:next w:val="Normal"/>
    <w:link w:val="Titre2Car"/>
    <w:uiPriority w:val="9"/>
    <w:unhideWhenUsed/>
    <w:qFormat/>
    <w:rsid w:val="001F2020"/>
    <w:pPr>
      <w:keepNext/>
      <w:keepLines/>
      <w:spacing w:before="200"/>
      <w:ind w:left="284"/>
      <w:outlineLvl w:val="1"/>
    </w:pPr>
    <w:rPr>
      <w:rFonts w:ascii="Playfair Display" w:eastAsiaTheme="majorEastAsia" w:hAnsi="Playfair Display" w:cstheme="majorBidi"/>
      <w:color w:val="006E96"/>
      <w:sz w:val="28"/>
      <w:szCs w:val="26"/>
    </w:rPr>
  </w:style>
  <w:style w:type="paragraph" w:styleId="Titre3">
    <w:name w:val="heading 3"/>
    <w:basedOn w:val="Normal"/>
    <w:next w:val="Normal"/>
    <w:link w:val="Titre3Car"/>
    <w:uiPriority w:val="9"/>
    <w:unhideWhenUsed/>
    <w:qFormat/>
    <w:rsid w:val="001F2020"/>
    <w:pPr>
      <w:keepNext/>
      <w:keepLines/>
      <w:spacing w:after="120"/>
      <w:ind w:left="567"/>
      <w:outlineLvl w:val="2"/>
    </w:pPr>
    <w:rPr>
      <w:rFonts w:ascii="Playfair Display" w:eastAsiaTheme="majorEastAsia" w:hAnsi="Playfair Display" w:cstheme="majorBidi"/>
      <w:color w:val="1F3763" w:themeColor="accent1" w:themeShade="7F"/>
      <w:sz w:val="24"/>
    </w:rPr>
  </w:style>
  <w:style w:type="paragraph" w:styleId="Titre4">
    <w:name w:val="heading 4"/>
    <w:basedOn w:val="Normal"/>
    <w:next w:val="Normal"/>
    <w:link w:val="Titre4Car"/>
    <w:uiPriority w:val="9"/>
    <w:unhideWhenUsed/>
    <w:qFormat/>
    <w:rsid w:val="001F2020"/>
    <w:pPr>
      <w:keepNext/>
      <w:keepLines/>
      <w:spacing w:after="120"/>
      <w:ind w:left="851"/>
      <w:outlineLvl w:val="3"/>
    </w:pPr>
    <w:rPr>
      <w:rFonts w:ascii="Playfair Display" w:eastAsiaTheme="majorEastAsia" w:hAnsi="Playfair Display" w:cstheme="majorBidi"/>
      <w:i/>
      <w:iCs/>
      <w:color w:val="006E96"/>
      <w:sz w:val="24"/>
    </w:rPr>
  </w:style>
  <w:style w:type="paragraph" w:styleId="Titre5">
    <w:name w:val="heading 5"/>
    <w:basedOn w:val="Normal"/>
    <w:next w:val="Normal"/>
    <w:link w:val="Titre5Car"/>
    <w:uiPriority w:val="9"/>
    <w:semiHidden/>
    <w:unhideWhenUsed/>
    <w:qFormat/>
    <w:rsid w:val="001F2020"/>
    <w:pPr>
      <w:keepNext/>
      <w:keepLines/>
      <w:spacing w:after="100"/>
      <w:ind w:left="1134"/>
      <w:outlineLvl w:val="4"/>
    </w:pPr>
    <w:rPr>
      <w:rFonts w:ascii="Playfair Display" w:eastAsiaTheme="majorEastAsia" w:hAnsi="Playfair Display"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23717"/>
    <w:pPr>
      <w:spacing w:before="1200" w:after="720"/>
      <w:contextualSpacing/>
      <w:jc w:val="center"/>
    </w:pPr>
    <w:rPr>
      <w:rFonts w:ascii="Playfair Display" w:eastAsiaTheme="majorEastAsia" w:hAnsi="Playfair Display" w:cstheme="majorBidi"/>
      <w:b/>
      <w:color w:val="1A2450"/>
      <w:spacing w:val="-10"/>
      <w:kern w:val="28"/>
      <w:sz w:val="48"/>
      <w:szCs w:val="56"/>
    </w:rPr>
  </w:style>
  <w:style w:type="character" w:customStyle="1" w:styleId="TitreCar">
    <w:name w:val="Titre Car"/>
    <w:basedOn w:val="Policepardfaut"/>
    <w:link w:val="Titre"/>
    <w:uiPriority w:val="10"/>
    <w:rsid w:val="00623717"/>
    <w:rPr>
      <w:rFonts w:ascii="Playfair Display" w:eastAsiaTheme="majorEastAsia" w:hAnsi="Playfair Display" w:cstheme="majorBidi"/>
      <w:b/>
      <w:color w:val="1A2450"/>
      <w:spacing w:val="-10"/>
      <w:kern w:val="28"/>
      <w:sz w:val="48"/>
      <w:szCs w:val="56"/>
    </w:rPr>
  </w:style>
  <w:style w:type="character" w:customStyle="1" w:styleId="Titre1Car">
    <w:name w:val="Titre 1 Car"/>
    <w:basedOn w:val="Policepardfaut"/>
    <w:link w:val="Titre1"/>
    <w:uiPriority w:val="9"/>
    <w:rsid w:val="001F2020"/>
    <w:rPr>
      <w:rFonts w:ascii="Playfair Display" w:eastAsiaTheme="majorEastAsia" w:hAnsi="Playfair Display" w:cstheme="majorBidi"/>
      <w:color w:val="1A2450"/>
      <w:sz w:val="32"/>
      <w:szCs w:val="32"/>
    </w:rPr>
  </w:style>
  <w:style w:type="character" w:customStyle="1" w:styleId="Titre2Car">
    <w:name w:val="Titre 2 Car"/>
    <w:basedOn w:val="Policepardfaut"/>
    <w:link w:val="Titre2"/>
    <w:uiPriority w:val="9"/>
    <w:rsid w:val="001F2020"/>
    <w:rPr>
      <w:rFonts w:ascii="Playfair Display" w:eastAsiaTheme="majorEastAsia" w:hAnsi="Playfair Display" w:cstheme="majorBidi"/>
      <w:color w:val="006E96"/>
      <w:sz w:val="28"/>
      <w:szCs w:val="26"/>
    </w:rPr>
  </w:style>
  <w:style w:type="paragraph" w:styleId="Sous-titre">
    <w:name w:val="Subtitle"/>
    <w:basedOn w:val="Normal"/>
    <w:next w:val="Normal"/>
    <w:link w:val="Sous-titreCar"/>
    <w:uiPriority w:val="11"/>
    <w:qFormat/>
    <w:rsid w:val="001F2020"/>
    <w:pPr>
      <w:numPr>
        <w:ilvl w:val="1"/>
      </w:numPr>
      <w:jc w:val="center"/>
    </w:pPr>
    <w:rPr>
      <w:rFonts w:ascii="Playfair Display" w:eastAsiaTheme="minorEastAsia" w:hAnsi="Playfair Display"/>
      <w:b/>
      <w:color w:val="19386F"/>
      <w:spacing w:val="15"/>
      <w:sz w:val="32"/>
      <w:szCs w:val="22"/>
    </w:rPr>
  </w:style>
  <w:style w:type="character" w:customStyle="1" w:styleId="Sous-titreCar">
    <w:name w:val="Sous-titre Car"/>
    <w:basedOn w:val="Policepardfaut"/>
    <w:link w:val="Sous-titre"/>
    <w:uiPriority w:val="11"/>
    <w:rsid w:val="001F2020"/>
    <w:rPr>
      <w:rFonts w:ascii="Playfair Display" w:eastAsiaTheme="minorEastAsia" w:hAnsi="Playfair Display"/>
      <w:b/>
      <w:color w:val="19386F"/>
      <w:spacing w:val="15"/>
      <w:sz w:val="32"/>
      <w:szCs w:val="22"/>
    </w:rPr>
  </w:style>
  <w:style w:type="character" w:customStyle="1" w:styleId="Titre3Car">
    <w:name w:val="Titre 3 Car"/>
    <w:basedOn w:val="Policepardfaut"/>
    <w:link w:val="Titre3"/>
    <w:uiPriority w:val="9"/>
    <w:rsid w:val="001F2020"/>
    <w:rPr>
      <w:rFonts w:ascii="Playfair Display" w:eastAsiaTheme="majorEastAsia" w:hAnsi="Playfair Display" w:cstheme="majorBidi"/>
      <w:color w:val="1F3763" w:themeColor="accent1" w:themeShade="7F"/>
    </w:rPr>
  </w:style>
  <w:style w:type="character" w:customStyle="1" w:styleId="Titre4Car">
    <w:name w:val="Titre 4 Car"/>
    <w:basedOn w:val="Policepardfaut"/>
    <w:link w:val="Titre4"/>
    <w:uiPriority w:val="9"/>
    <w:rsid w:val="001F2020"/>
    <w:rPr>
      <w:rFonts w:ascii="Playfair Display" w:eastAsiaTheme="majorEastAsia" w:hAnsi="Playfair Display" w:cstheme="majorBidi"/>
      <w:i/>
      <w:iCs/>
      <w:color w:val="006E96"/>
    </w:rPr>
  </w:style>
  <w:style w:type="character" w:customStyle="1" w:styleId="Titre5Car">
    <w:name w:val="Titre 5 Car"/>
    <w:basedOn w:val="Policepardfaut"/>
    <w:link w:val="Titre5"/>
    <w:uiPriority w:val="9"/>
    <w:semiHidden/>
    <w:rsid w:val="001F2020"/>
    <w:rPr>
      <w:rFonts w:ascii="Playfair Display" w:eastAsiaTheme="majorEastAsia" w:hAnsi="Playfair Display" w:cstheme="majorBidi"/>
      <w:color w:val="2F5496" w:themeColor="accent1" w:themeShade="BF"/>
      <w:sz w:val="22"/>
    </w:rPr>
  </w:style>
  <w:style w:type="table" w:styleId="Grilledutableau">
    <w:name w:val="Table Grid"/>
    <w:basedOn w:val="TableauNormal"/>
    <w:uiPriority w:val="39"/>
    <w:rsid w:val="008B2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8B24D8"/>
    <w:pPr>
      <w:spacing w:after="100"/>
      <w:outlineLvl w:val="9"/>
    </w:pPr>
    <w:rPr>
      <w:b/>
    </w:rPr>
  </w:style>
  <w:style w:type="paragraph" w:styleId="TM1">
    <w:name w:val="toc 1"/>
    <w:basedOn w:val="Normal"/>
    <w:next w:val="Normal"/>
    <w:autoRedefine/>
    <w:uiPriority w:val="39"/>
    <w:unhideWhenUsed/>
    <w:rsid w:val="00096500"/>
    <w:pPr>
      <w:spacing w:after="100"/>
    </w:pPr>
    <w:rPr>
      <w:b/>
      <w:color w:val="002060"/>
    </w:rPr>
  </w:style>
  <w:style w:type="paragraph" w:styleId="En-tte">
    <w:name w:val="header"/>
    <w:basedOn w:val="Normal"/>
    <w:link w:val="En-tteCar"/>
    <w:uiPriority w:val="99"/>
    <w:unhideWhenUsed/>
    <w:rsid w:val="00063367"/>
    <w:pPr>
      <w:tabs>
        <w:tab w:val="center" w:pos="4536"/>
        <w:tab w:val="right" w:pos="9072"/>
      </w:tabs>
      <w:spacing w:before="0" w:after="0"/>
    </w:pPr>
  </w:style>
  <w:style w:type="character" w:customStyle="1" w:styleId="En-tteCar">
    <w:name w:val="En-tête Car"/>
    <w:basedOn w:val="Policepardfaut"/>
    <w:link w:val="En-tte"/>
    <w:uiPriority w:val="99"/>
    <w:rsid w:val="00063367"/>
    <w:rPr>
      <w:rFonts w:ascii="Raleway" w:hAnsi="Raleway"/>
      <w:sz w:val="22"/>
    </w:rPr>
  </w:style>
  <w:style w:type="paragraph" w:styleId="Pieddepage">
    <w:name w:val="footer"/>
    <w:basedOn w:val="Normal"/>
    <w:link w:val="PieddepageCar"/>
    <w:uiPriority w:val="99"/>
    <w:unhideWhenUsed/>
    <w:rsid w:val="00063367"/>
    <w:pPr>
      <w:tabs>
        <w:tab w:val="center" w:pos="4536"/>
        <w:tab w:val="right" w:pos="9072"/>
      </w:tabs>
      <w:spacing w:before="0" w:after="0"/>
    </w:pPr>
  </w:style>
  <w:style w:type="character" w:customStyle="1" w:styleId="PieddepageCar">
    <w:name w:val="Pied de page Car"/>
    <w:basedOn w:val="Policepardfaut"/>
    <w:link w:val="Pieddepage"/>
    <w:uiPriority w:val="99"/>
    <w:rsid w:val="00063367"/>
    <w:rPr>
      <w:rFonts w:ascii="Raleway" w:hAnsi="Raleway"/>
      <w:sz w:val="22"/>
    </w:rPr>
  </w:style>
  <w:style w:type="character" w:styleId="Lienhypertexte">
    <w:name w:val="Hyperlink"/>
    <w:basedOn w:val="Policepardfaut"/>
    <w:uiPriority w:val="99"/>
    <w:unhideWhenUsed/>
    <w:rsid w:val="00013BED"/>
    <w:rPr>
      <w:color w:val="7030A0"/>
      <w:u w:val="single"/>
    </w:rPr>
  </w:style>
  <w:style w:type="character" w:styleId="Mentionnonrsolue">
    <w:name w:val="Unresolved Mention"/>
    <w:basedOn w:val="Policepardfaut"/>
    <w:uiPriority w:val="99"/>
    <w:semiHidden/>
    <w:unhideWhenUsed/>
    <w:rsid w:val="00013BED"/>
    <w:rPr>
      <w:color w:val="605E5C"/>
      <w:shd w:val="clear" w:color="auto" w:fill="E1DFDD"/>
    </w:rPr>
  </w:style>
  <w:style w:type="paragraph" w:styleId="Paragraphedeliste">
    <w:name w:val="List Paragraph"/>
    <w:basedOn w:val="Normal"/>
    <w:uiPriority w:val="34"/>
    <w:qFormat/>
    <w:rsid w:val="00B53EBD"/>
    <w:pPr>
      <w:ind w:left="720"/>
      <w:contextualSpacing/>
    </w:pPr>
  </w:style>
  <w:style w:type="paragraph" w:styleId="TM2">
    <w:name w:val="toc 2"/>
    <w:basedOn w:val="Normal"/>
    <w:next w:val="Normal"/>
    <w:autoRedefine/>
    <w:uiPriority w:val="39"/>
    <w:unhideWhenUsed/>
    <w:rsid w:val="00776EBA"/>
    <w:pPr>
      <w:spacing w:after="100"/>
      <w:ind w:left="220"/>
    </w:pPr>
  </w:style>
  <w:style w:type="paragraph" w:styleId="TM3">
    <w:name w:val="toc 3"/>
    <w:basedOn w:val="Normal"/>
    <w:next w:val="Normal"/>
    <w:autoRedefine/>
    <w:uiPriority w:val="39"/>
    <w:unhideWhenUsed/>
    <w:rsid w:val="00776EBA"/>
    <w:pPr>
      <w:spacing w:after="100"/>
      <w:ind w:left="440"/>
    </w:pPr>
  </w:style>
  <w:style w:type="character" w:styleId="Lienhypertextesuivivisit">
    <w:name w:val="FollowedHyperlink"/>
    <w:basedOn w:val="Policepardfaut"/>
    <w:uiPriority w:val="99"/>
    <w:semiHidden/>
    <w:unhideWhenUsed/>
    <w:rsid w:val="00D95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4196">
      <w:bodyDiv w:val="1"/>
      <w:marLeft w:val="0"/>
      <w:marRight w:val="0"/>
      <w:marTop w:val="0"/>
      <w:marBottom w:val="0"/>
      <w:divBdr>
        <w:top w:val="none" w:sz="0" w:space="0" w:color="auto"/>
        <w:left w:val="none" w:sz="0" w:space="0" w:color="auto"/>
        <w:bottom w:val="none" w:sz="0" w:space="0" w:color="auto"/>
        <w:right w:val="none" w:sz="0" w:space="0" w:color="auto"/>
      </w:divBdr>
    </w:div>
    <w:div w:id="376786499">
      <w:bodyDiv w:val="1"/>
      <w:marLeft w:val="0"/>
      <w:marRight w:val="0"/>
      <w:marTop w:val="0"/>
      <w:marBottom w:val="0"/>
      <w:divBdr>
        <w:top w:val="none" w:sz="0" w:space="0" w:color="auto"/>
        <w:left w:val="none" w:sz="0" w:space="0" w:color="auto"/>
        <w:bottom w:val="none" w:sz="0" w:space="0" w:color="auto"/>
        <w:right w:val="none" w:sz="0" w:space="0" w:color="auto"/>
      </w:divBdr>
    </w:div>
    <w:div w:id="557132977">
      <w:bodyDiv w:val="1"/>
      <w:marLeft w:val="0"/>
      <w:marRight w:val="0"/>
      <w:marTop w:val="0"/>
      <w:marBottom w:val="0"/>
      <w:divBdr>
        <w:top w:val="none" w:sz="0" w:space="0" w:color="auto"/>
        <w:left w:val="none" w:sz="0" w:space="0" w:color="auto"/>
        <w:bottom w:val="none" w:sz="0" w:space="0" w:color="auto"/>
        <w:right w:val="none" w:sz="0" w:space="0" w:color="auto"/>
      </w:divBdr>
    </w:div>
    <w:div w:id="668095837">
      <w:bodyDiv w:val="1"/>
      <w:marLeft w:val="0"/>
      <w:marRight w:val="0"/>
      <w:marTop w:val="0"/>
      <w:marBottom w:val="0"/>
      <w:divBdr>
        <w:top w:val="none" w:sz="0" w:space="0" w:color="auto"/>
        <w:left w:val="none" w:sz="0" w:space="0" w:color="auto"/>
        <w:bottom w:val="none" w:sz="0" w:space="0" w:color="auto"/>
        <w:right w:val="none" w:sz="0" w:space="0" w:color="auto"/>
      </w:divBdr>
    </w:div>
    <w:div w:id="1633753850">
      <w:bodyDiv w:val="1"/>
      <w:marLeft w:val="0"/>
      <w:marRight w:val="0"/>
      <w:marTop w:val="0"/>
      <w:marBottom w:val="0"/>
      <w:divBdr>
        <w:top w:val="none" w:sz="0" w:space="0" w:color="auto"/>
        <w:left w:val="none" w:sz="0" w:space="0" w:color="auto"/>
        <w:bottom w:val="none" w:sz="0" w:space="0" w:color="auto"/>
        <w:right w:val="none" w:sz="0" w:space="0" w:color="auto"/>
      </w:divBdr>
    </w:div>
    <w:div w:id="17010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reunion.fr" TargetMode="External"/><Relationship Id="rId13" Type="http://schemas.openxmlformats.org/officeDocument/2006/relationships/hyperlink" Target="https://youtu.be/bkS4XBU-gZo" TargetMode="External"/><Relationship Id="rId18" Type="http://schemas.openxmlformats.org/officeDocument/2006/relationships/hyperlink" Target="https://www.univ-reunion.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ormation.univ-reunion.fr" TargetMode="External"/><Relationship Id="rId7" Type="http://schemas.openxmlformats.org/officeDocument/2006/relationships/image" Target="media/image1.png"/><Relationship Id="rId12" Type="http://schemas.openxmlformats.org/officeDocument/2006/relationships/hyperlink" Target="https://youtu.be/O7ty2AZXZr8" TargetMode="External"/><Relationship Id="rId17" Type="http://schemas.openxmlformats.org/officeDocument/2006/relationships/hyperlink" Target="https://youtu.be/55qCMxBZZs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mFyFsr64yrA" TargetMode="External"/><Relationship Id="rId20" Type="http://schemas.openxmlformats.org/officeDocument/2006/relationships/hyperlink" Target="https://bu.univ-reunion.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9yibAHSuHLM" TargetMode="External"/><Relationship Id="rId24" Type="http://schemas.openxmlformats.org/officeDocument/2006/relationships/hyperlink" Target="https://ose.univ-reunion.fr" TargetMode="External"/><Relationship Id="rId5" Type="http://schemas.openxmlformats.org/officeDocument/2006/relationships/footnotes" Target="footnotes.xml"/><Relationship Id="rId15" Type="http://schemas.openxmlformats.org/officeDocument/2006/relationships/hyperlink" Target="https://youtu.be/qqH7W1K3QHs" TargetMode="External"/><Relationship Id="rId23" Type="http://schemas.openxmlformats.org/officeDocument/2006/relationships/hyperlink" Target="https://emploidutemps.univ-reunion.fr" TargetMode="External"/><Relationship Id="rId10" Type="http://schemas.openxmlformats.org/officeDocument/2006/relationships/hyperlink" Target="https://youtu.be/A81jhbZvZqw" TargetMode="External"/><Relationship Id="rId19" Type="http://schemas.openxmlformats.org/officeDocument/2006/relationships/hyperlink" Target="https://intranet.univ-reunion.fr" TargetMode="External"/><Relationship Id="rId4" Type="http://schemas.openxmlformats.org/officeDocument/2006/relationships/webSettings" Target="webSettings.xml"/><Relationship Id="rId9" Type="http://schemas.openxmlformats.org/officeDocument/2006/relationships/hyperlink" Target="https://youtu.be/lBKtdXUIEpk" TargetMode="External"/><Relationship Id="rId14" Type="http://schemas.openxmlformats.org/officeDocument/2006/relationships/hyperlink" Target="https://www.youtube.com/watch?v=mFyFsr64yrA&amp;list=PLJnvUWYNCYAb_bQCNvg-5NRTX3Rhbucla" TargetMode="External"/><Relationship Id="rId22" Type="http://schemas.openxmlformats.org/officeDocument/2006/relationships/hyperlink" Target="https://candidature.univ-reunion.fr"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ivier/Library/Group%20Containers/UBF8T346G9.Office/User%20Content.localized/Templates.localized/Mode&#768;le%20UR%20O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Modèle UR OS.dotx</Template>
  <TotalTime>5</TotalTime>
  <Pages>17</Pages>
  <Words>4718</Words>
  <Characters>25954</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Schéma Pluriannuel d’Accessibilité Numérique (SPAN)</vt:lpstr>
    </vt:vector>
  </TitlesOfParts>
  <Manager/>
  <Company>Université de La Réunion</Company>
  <LinksUpToDate>false</LinksUpToDate>
  <CharactersWithSpaces>30611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Pluriannuel d’Accessibilité Numérique (SPAN)</dc:title>
  <dc:subject>Sept 2022- Sept 2025</dc:subject>
  <dc:creator>Université de La Réunion</dc:creator>
  <cp:keywords/>
  <dc:description/>
  <cp:lastModifiedBy>Annie Dumont</cp:lastModifiedBy>
  <cp:revision>3</cp:revision>
  <cp:lastPrinted>2022-08-30T06:26:00Z</cp:lastPrinted>
  <dcterms:created xsi:type="dcterms:W3CDTF">2022-08-30T06:26:00Z</dcterms:created>
  <dcterms:modified xsi:type="dcterms:W3CDTF">2022-08-30T07:35:00Z</dcterms:modified>
  <cp:category/>
</cp:coreProperties>
</file>